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8A" w:rsidRPr="00393280" w:rsidRDefault="00A1338A" w:rsidP="00A1338A">
      <w:pPr>
        <w:ind w:right="-568"/>
        <w:jc w:val="center"/>
        <w:rPr>
          <w:rFonts w:ascii="Times New Roman" w:hAnsi="Times New Roman"/>
          <w:b/>
          <w:color w:val="0070C0"/>
          <w:sz w:val="44"/>
          <w:szCs w:val="44"/>
          <w:u w:val="single"/>
        </w:rPr>
      </w:pPr>
      <w:r>
        <w:rPr>
          <w:rFonts w:ascii="Times New Roman" w:hAnsi="Times New Roman"/>
          <w:b/>
          <w:color w:val="0070C0"/>
          <w:sz w:val="44"/>
          <w:szCs w:val="44"/>
          <w:u w:val="single"/>
        </w:rPr>
        <w:t xml:space="preserve"> JUNIO, MUY SECO Y CON OLA DE CALOR</w:t>
      </w:r>
    </w:p>
    <w:p w:rsidR="00A1338A" w:rsidRDefault="00A1338A" w:rsidP="00A1338A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1338A">
        <w:rPr>
          <w:rFonts w:ascii="Times New Roman" w:hAnsi="Times New Roman"/>
          <w:b/>
          <w:bCs/>
          <w:color w:val="FF0000"/>
          <w:sz w:val="36"/>
          <w:szCs w:val="36"/>
        </w:rPr>
        <w:t>El mes ha sido moderadamente cálido, con una temperatura media de 19,4º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1338A">
        <w:rPr>
          <w:rFonts w:ascii="Times New Roman" w:hAnsi="Times New Roman"/>
          <w:b/>
          <w:bCs/>
          <w:color w:val="FF0000"/>
          <w:sz w:val="28"/>
          <w:szCs w:val="28"/>
        </w:rPr>
        <w:t>1,4º superior a la media del clima, pero sólo 0,4º más alta que en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070">
        <w:rPr>
          <w:rFonts w:ascii="Times New Roman" w:hAnsi="Times New Roman"/>
          <w:sz w:val="26"/>
          <w:szCs w:val="26"/>
        </w:rPr>
        <w:t>y en la tónica de bastantes de los últimos 10 años).</w:t>
      </w: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A1338A" w:rsidRP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A1338A">
        <w:rPr>
          <w:rFonts w:ascii="Times New Roman" w:hAnsi="Times New Roman"/>
          <w:b/>
          <w:bCs/>
          <w:color w:val="7030A0"/>
          <w:sz w:val="32"/>
          <w:szCs w:val="32"/>
        </w:rPr>
        <w:t>A  destacar la ola de fuerte calor de los 5 últimos días del mes.</w:t>
      </w: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04900">
        <w:rPr>
          <w:rFonts w:ascii="Times New Roman" w:hAnsi="Times New Roman"/>
          <w:b/>
          <w:bCs/>
          <w:color w:val="7030A0"/>
          <w:sz w:val="32"/>
          <w:szCs w:val="32"/>
        </w:rPr>
        <w:t>La máxima absoluta se registró el día 28, con 40,1º</w:t>
      </w:r>
      <w:r w:rsidRPr="00D04900">
        <w:rPr>
          <w:rFonts w:ascii="Times New Roman" w:hAnsi="Times New Roman"/>
          <w:color w:val="7030A0"/>
          <w:sz w:val="32"/>
          <w:szCs w:val="32"/>
        </w:rPr>
        <w:t xml:space="preserve">, </w:t>
      </w:r>
      <w:r w:rsidRPr="00D04900">
        <w:rPr>
          <w:rFonts w:ascii="Times New Roman" w:hAnsi="Times New Roman"/>
          <w:b/>
          <w:bCs/>
          <w:color w:val="7030A0"/>
          <w:sz w:val="32"/>
          <w:szCs w:val="32"/>
        </w:rPr>
        <w:t xml:space="preserve">la más alta </w:t>
      </w:r>
      <w:r w:rsidR="00AD0075">
        <w:rPr>
          <w:rFonts w:ascii="Times New Roman" w:hAnsi="Times New Roman"/>
          <w:b/>
          <w:bCs/>
          <w:color w:val="7030A0"/>
          <w:sz w:val="32"/>
          <w:szCs w:val="32"/>
        </w:rPr>
        <w:t>del verano en</w:t>
      </w:r>
      <w:r w:rsidRPr="00D04900">
        <w:rPr>
          <w:rFonts w:ascii="Times New Roman" w:hAnsi="Times New Roman"/>
          <w:b/>
          <w:bCs/>
          <w:color w:val="7030A0"/>
          <w:sz w:val="32"/>
          <w:szCs w:val="32"/>
        </w:rPr>
        <w:t xml:space="preserve"> este siglo</w:t>
      </w:r>
      <w:r w:rsidRPr="006E5070">
        <w:rPr>
          <w:rFonts w:ascii="Times New Roman" w:hAnsi="Times New Roman"/>
          <w:color w:val="7030A0"/>
          <w:sz w:val="32"/>
          <w:szCs w:val="32"/>
        </w:rPr>
        <w:t xml:space="preserve">, y </w:t>
      </w:r>
      <w:r w:rsidRPr="006E5070">
        <w:rPr>
          <w:rFonts w:ascii="Times New Roman" w:hAnsi="Times New Roman"/>
          <w:b/>
          <w:bCs/>
          <w:color w:val="7030A0"/>
          <w:sz w:val="32"/>
          <w:szCs w:val="32"/>
        </w:rPr>
        <w:t>la mínima más baja el 12, con 4,8º</w:t>
      </w:r>
      <w:r w:rsidRPr="006E5070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1338A">
        <w:rPr>
          <w:rFonts w:ascii="Times New Roman" w:hAnsi="Times New Roman"/>
          <w:b/>
          <w:bCs/>
          <w:color w:val="C00000"/>
          <w:sz w:val="28"/>
          <w:szCs w:val="28"/>
        </w:rPr>
        <w:t>Hubo 1 niebla, alta y poco persistente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5070">
        <w:rPr>
          <w:rFonts w:ascii="Times New Roman" w:hAnsi="Times New Roman"/>
          <w:sz w:val="26"/>
          <w:szCs w:val="26"/>
        </w:rPr>
        <w:t>y 3 días con calima (al final del mes).</w:t>
      </w:r>
    </w:p>
    <w:p w:rsidR="00A1338A" w:rsidRP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1338A">
        <w:rPr>
          <w:rFonts w:ascii="Times New Roman" w:hAnsi="Times New Roman"/>
          <w:b/>
          <w:bCs/>
          <w:color w:val="C00000"/>
          <w:sz w:val="28"/>
          <w:szCs w:val="28"/>
        </w:rPr>
        <w:t>La racha de viento más fuerte se registró el día 27, con 49,9  km/h del SE.</w:t>
      </w: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1338A">
        <w:rPr>
          <w:rFonts w:ascii="Times New Roman" w:hAnsi="Times New Roman"/>
          <w:b/>
          <w:bCs/>
          <w:color w:val="0070C0"/>
          <w:sz w:val="32"/>
          <w:szCs w:val="32"/>
        </w:rPr>
        <w:t>Las</w:t>
      </w:r>
      <w:r w:rsidRPr="00A1338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A1338A">
        <w:rPr>
          <w:rFonts w:ascii="Times New Roman" w:hAnsi="Times New Roman"/>
          <w:b/>
          <w:bCs/>
          <w:color w:val="0070C0"/>
          <w:sz w:val="36"/>
          <w:szCs w:val="36"/>
        </w:rPr>
        <w:t>precipitaciones, con un total de 16,2  l/m</w:t>
      </w:r>
      <w:r w:rsidRPr="00A1338A">
        <w:rPr>
          <w:rFonts w:ascii="Times New Roman" w:hAnsi="Times New Roman"/>
          <w:b/>
          <w:bCs/>
          <w:color w:val="0070C0"/>
          <w:sz w:val="36"/>
          <w:szCs w:val="36"/>
          <w:vertAlign w:val="superscript"/>
        </w:rPr>
        <w:t>2</w:t>
      </w:r>
      <w:r w:rsidRPr="00A1338A">
        <w:rPr>
          <w:rFonts w:ascii="Times New Roman" w:hAnsi="Times New Roman"/>
          <w:b/>
          <w:bCs/>
          <w:color w:val="0070C0"/>
          <w:sz w:val="36"/>
          <w:szCs w:val="36"/>
        </w:rPr>
        <w:t>, han sido muy escasas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900">
        <w:rPr>
          <w:rFonts w:ascii="Times New Roman" w:hAnsi="Times New Roman"/>
          <w:sz w:val="26"/>
          <w:szCs w:val="26"/>
        </w:rPr>
        <w:t>(la media d</w:t>
      </w:r>
      <w:r w:rsidR="001E33FE">
        <w:rPr>
          <w:rFonts w:ascii="Times New Roman" w:hAnsi="Times New Roman"/>
          <w:sz w:val="26"/>
          <w:szCs w:val="26"/>
        </w:rPr>
        <w:t xml:space="preserve">e la zona son 48 litros), la 5ª </w:t>
      </w:r>
      <w:r w:rsidRPr="00D04900">
        <w:rPr>
          <w:rFonts w:ascii="Times New Roman" w:hAnsi="Times New Roman"/>
          <w:sz w:val="26"/>
          <w:szCs w:val="26"/>
        </w:rPr>
        <w:t xml:space="preserve"> parte respecto a 2018</w:t>
      </w:r>
      <w:r>
        <w:rPr>
          <w:rFonts w:ascii="Times New Roman" w:hAnsi="Times New Roman"/>
          <w:sz w:val="24"/>
          <w:szCs w:val="24"/>
        </w:rPr>
        <w:t>.</w:t>
      </w: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Las </w:t>
      </w:r>
      <w:r w:rsidRPr="00A1338A">
        <w:rPr>
          <w:rFonts w:ascii="Times New Roman" w:hAnsi="Times New Roman"/>
          <w:b/>
          <w:bCs/>
          <w:color w:val="0070C0"/>
          <w:sz w:val="28"/>
          <w:szCs w:val="28"/>
        </w:rPr>
        <w:t xml:space="preserve">precipitaciones se debieron a la </w:t>
      </w:r>
      <w:proofErr w:type="spellStart"/>
      <w:r w:rsidRPr="00A1338A">
        <w:rPr>
          <w:rFonts w:ascii="Times New Roman" w:hAnsi="Times New Roman"/>
          <w:b/>
          <w:bCs/>
          <w:color w:val="0070C0"/>
          <w:sz w:val="28"/>
          <w:szCs w:val="28"/>
        </w:rPr>
        <w:t>ciclogénesis</w:t>
      </w:r>
      <w:proofErr w:type="spellEnd"/>
      <w:r w:rsidRPr="00A1338A">
        <w:rPr>
          <w:rFonts w:ascii="Times New Roman" w:hAnsi="Times New Roman"/>
          <w:b/>
          <w:bCs/>
          <w:color w:val="0070C0"/>
          <w:sz w:val="28"/>
          <w:szCs w:val="28"/>
        </w:rPr>
        <w:t xml:space="preserve"> explosiva Miguel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y a </w:t>
      </w:r>
      <w:r w:rsidRPr="00A1338A">
        <w:rPr>
          <w:rFonts w:ascii="Times New Roman" w:hAnsi="Times New Roman"/>
          <w:b/>
          <w:bCs/>
          <w:color w:val="0070C0"/>
          <w:sz w:val="28"/>
          <w:szCs w:val="28"/>
        </w:rPr>
        <w:t xml:space="preserve"> varias tormentas.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38A">
        <w:rPr>
          <w:rFonts w:ascii="Times New Roman" w:hAnsi="Times New Roman"/>
          <w:b/>
          <w:bCs/>
          <w:color w:val="0070C0"/>
          <w:sz w:val="26"/>
          <w:szCs w:val="26"/>
        </w:rPr>
        <w:t>Sólo llovió  6 días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338A">
        <w:rPr>
          <w:rFonts w:ascii="Times New Roman" w:hAnsi="Times New Roman"/>
          <w:b/>
          <w:bCs/>
          <w:color w:val="0070C0"/>
          <w:sz w:val="32"/>
          <w:szCs w:val="32"/>
        </w:rPr>
        <w:t>El día más lluvioso fue el 20, con 8,2  l/m</w:t>
      </w:r>
      <w:r w:rsidRPr="00A1338A">
        <w:rPr>
          <w:rFonts w:ascii="Times New Roman" w:hAnsi="Times New Roman"/>
          <w:b/>
          <w:bCs/>
          <w:color w:val="0070C0"/>
          <w:sz w:val="32"/>
          <w:szCs w:val="32"/>
          <w:vertAlign w:val="superscript"/>
        </w:rPr>
        <w:t>2</w:t>
      </w:r>
      <w:r w:rsidRPr="00A1338A">
        <w:rPr>
          <w:rFonts w:ascii="Times New Roman" w:hAnsi="Times New Roman"/>
          <w:b/>
          <w:bCs/>
          <w:color w:val="0070C0"/>
          <w:sz w:val="32"/>
          <w:szCs w:val="32"/>
        </w:rPr>
        <w:t>.</w:t>
      </w:r>
    </w:p>
    <w:p w:rsidR="00A1338A" w:rsidRDefault="00A1338A" w:rsidP="00A1338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D34" w:rsidRDefault="001B7DC8" w:rsidP="00AD0075">
      <w:pPr>
        <w:jc w:val="center"/>
      </w:pPr>
      <w:r>
        <w:rPr>
          <w:rFonts w:ascii="Times New Roman" w:hAnsi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5965620" cy="4028394"/>
            <wp:effectExtent l="19050" t="0" r="16080" b="0"/>
            <wp:docPr id="5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04900" w:rsidRDefault="00D04900" w:rsidP="00A1338A">
      <w:pPr>
        <w:spacing w:after="0" w:line="240" w:lineRule="auto"/>
        <w:ind w:right="-994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</w:p>
    <w:p w:rsidR="00A1338A" w:rsidRDefault="001B7DC8" w:rsidP="00A1338A">
      <w:r>
        <w:rPr>
          <w:noProof/>
          <w:lang w:eastAsia="es-ES"/>
        </w:rPr>
        <w:lastRenderedPageBreak/>
        <w:drawing>
          <wp:inline distT="0" distB="0" distL="0" distR="0">
            <wp:extent cx="5963231" cy="3599234"/>
            <wp:effectExtent l="19050" t="0" r="18469" b="1216"/>
            <wp:docPr id="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0075" w:rsidRPr="00AD0075" w:rsidRDefault="001B7DC8" w:rsidP="00AD0075">
      <w:pPr>
        <w:spacing w:after="0" w:line="240" w:lineRule="auto"/>
        <w:ind w:right="-1419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u w:val="single"/>
          <w:lang w:eastAsia="es-ES"/>
        </w:rPr>
        <w:drawing>
          <wp:inline distT="0" distB="0" distL="0" distR="0">
            <wp:extent cx="5961961" cy="3696510"/>
            <wp:effectExtent l="19050" t="0" r="19739" b="0"/>
            <wp:docPr id="17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5070" w:rsidRDefault="006E5070" w:rsidP="00D04900">
      <w:pPr>
        <w:ind w:right="-568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</w:p>
    <w:p w:rsidR="00D04900" w:rsidRPr="00CB176E" w:rsidRDefault="00D04900" w:rsidP="00D04900">
      <w:pPr>
        <w:ind w:right="-568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CB176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NOTA</w:t>
      </w:r>
    </w:p>
    <w:p w:rsidR="00D04900" w:rsidRPr="00D04900" w:rsidRDefault="00D04900" w:rsidP="00D04900">
      <w:pPr>
        <w:ind w:right="-85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04900">
        <w:rPr>
          <w:rFonts w:ascii="Times New Roman" w:hAnsi="Times New Roman"/>
          <w:b/>
          <w:color w:val="C00000"/>
          <w:sz w:val="28"/>
          <w:szCs w:val="28"/>
        </w:rPr>
        <w:t>(Informe realizado por ZACARÍAS DIEZ GARCÍA, con los datos de la estación digital DAVIS, instalada en el IES ALONSO BERRUGUETE  de Palencia)</w:t>
      </w:r>
    </w:p>
    <w:sectPr w:rsidR="00D04900" w:rsidRPr="00D04900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1338A"/>
    <w:rsid w:val="000A2236"/>
    <w:rsid w:val="000E0FD0"/>
    <w:rsid w:val="001B7DC8"/>
    <w:rsid w:val="001E33FE"/>
    <w:rsid w:val="00372EEB"/>
    <w:rsid w:val="004A6D34"/>
    <w:rsid w:val="006E5070"/>
    <w:rsid w:val="006E5D72"/>
    <w:rsid w:val="00793182"/>
    <w:rsid w:val="007D48F4"/>
    <w:rsid w:val="008A1949"/>
    <w:rsid w:val="00A1338A"/>
    <w:rsid w:val="00AD0075"/>
    <w:rsid w:val="00D04900"/>
    <w:rsid w:val="00E01897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TABLA%20DE%20DATOS%20B&#193;SICOS%20DAVIS%20-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TABLA%20DE%20DATOS%20B&#193;SICOS%20DAVIS%20-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meses%202019%20-%20Davis\6.-%20Gr&#225;ficas%20y%20tablas%20junio%202019%20-%20Dav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 sz="1800" b="1" i="0" baseline="0"/>
              <a:t>TEMPERATURAS  Y  PRECIPITACIONES</a:t>
            </a:r>
            <a:endParaRPr lang="es-ES"/>
          </a:p>
          <a:p>
            <a:pPr>
              <a:defRPr>
                <a:solidFill>
                  <a:srgbClr val="FF0000"/>
                </a:solidFill>
              </a:defRPr>
            </a:pPr>
            <a:r>
              <a:rPr lang="es-ES" sz="1800" b="1" i="0" baseline="0"/>
              <a:t>EN  JUNIO DE 2019</a:t>
            </a:r>
            <a:r>
              <a:rPr lang="en-US">
                <a:solidFill>
                  <a:srgbClr val="FF0000"/>
                </a:solidFill>
              </a:rPr>
              <a:t>  </a:t>
            </a:r>
          </a:p>
        </c:rich>
      </c:tx>
      <c:layout>
        <c:manualLayout>
          <c:xMode val="edge"/>
          <c:yMode val="edge"/>
          <c:x val="0.20286709345462361"/>
          <c:y val="1.6954493275934421E-3"/>
        </c:manualLayout>
      </c:layout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8.6062942308166732E-2"/>
          <c:y val="0.18576617151501174"/>
          <c:w val="0.84217784572265719"/>
          <c:h val="0.62153708063006352"/>
        </c:manualLayout>
      </c:layout>
      <c:barChart>
        <c:barDir val="col"/>
        <c:grouping val="clustered"/>
        <c:ser>
          <c:idx val="2"/>
          <c:order val="2"/>
          <c:tx>
            <c:strRef>
              <c:f>Hoja1!$Y$333:$Y$334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cat>
            <c:numRef>
              <c:f>Hoja1!$V$335:$V$364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Hoja1!$Y$335:$Y$364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2.4</c:v>
                </c:pt>
                <c:pt idx="6">
                  <c:v>0.4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0.2</c:v>
                </c:pt>
                <c:pt idx="19">
                  <c:v>8.2000000000000011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67151744"/>
        <c:axId val="66910080"/>
      </c:barChart>
      <c:lineChart>
        <c:grouping val="standard"/>
        <c:ser>
          <c:idx val="0"/>
          <c:order val="0"/>
          <c:tx>
            <c:strRef>
              <c:f>Hoja1!$W$333:$W$334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Hoja1!$V$335:$V$364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Hoja1!$W$335:$W$364</c:f>
              <c:numCache>
                <c:formatCode>General</c:formatCode>
                <c:ptCount val="30"/>
                <c:pt idx="0">
                  <c:v>32.800000000000004</c:v>
                </c:pt>
                <c:pt idx="1">
                  <c:v>31.4</c:v>
                </c:pt>
                <c:pt idx="2">
                  <c:v>30.2</c:v>
                </c:pt>
                <c:pt idx="3">
                  <c:v>23.9</c:v>
                </c:pt>
                <c:pt idx="4">
                  <c:v>19.2</c:v>
                </c:pt>
                <c:pt idx="5">
                  <c:v>22.4</c:v>
                </c:pt>
                <c:pt idx="6">
                  <c:v>19.100000000000001</c:v>
                </c:pt>
                <c:pt idx="7">
                  <c:v>24.6</c:v>
                </c:pt>
                <c:pt idx="8">
                  <c:v>24.3</c:v>
                </c:pt>
                <c:pt idx="9">
                  <c:v>20.3</c:v>
                </c:pt>
                <c:pt idx="10">
                  <c:v>17.8</c:v>
                </c:pt>
                <c:pt idx="11">
                  <c:v>20.3</c:v>
                </c:pt>
                <c:pt idx="12">
                  <c:v>24.9</c:v>
                </c:pt>
                <c:pt idx="13">
                  <c:v>24</c:v>
                </c:pt>
                <c:pt idx="14">
                  <c:v>22.9</c:v>
                </c:pt>
                <c:pt idx="15">
                  <c:v>28.5</c:v>
                </c:pt>
                <c:pt idx="16">
                  <c:v>29.2</c:v>
                </c:pt>
                <c:pt idx="17">
                  <c:v>27.9</c:v>
                </c:pt>
                <c:pt idx="18">
                  <c:v>24.3</c:v>
                </c:pt>
                <c:pt idx="19">
                  <c:v>23.7</c:v>
                </c:pt>
                <c:pt idx="20">
                  <c:v>23.1</c:v>
                </c:pt>
                <c:pt idx="21">
                  <c:v>29.8</c:v>
                </c:pt>
                <c:pt idx="22">
                  <c:v>28.6</c:v>
                </c:pt>
                <c:pt idx="23">
                  <c:v>25.4</c:v>
                </c:pt>
                <c:pt idx="24">
                  <c:v>28.9</c:v>
                </c:pt>
                <c:pt idx="25">
                  <c:v>34.300000000000004</c:v>
                </c:pt>
                <c:pt idx="26">
                  <c:v>37.1</c:v>
                </c:pt>
                <c:pt idx="27">
                  <c:v>40.1</c:v>
                </c:pt>
                <c:pt idx="28">
                  <c:v>37.4</c:v>
                </c:pt>
                <c:pt idx="29">
                  <c:v>36.6</c:v>
                </c:pt>
              </c:numCache>
            </c:numRef>
          </c:val>
        </c:ser>
        <c:ser>
          <c:idx val="1"/>
          <c:order val="1"/>
          <c:tx>
            <c:strRef>
              <c:f>Hoja1!$X$333:$X$334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cat>
            <c:numRef>
              <c:f>Hoja1!$V$335:$V$364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Hoja1!$X$335:$X$364</c:f>
              <c:numCache>
                <c:formatCode>General</c:formatCode>
                <c:ptCount val="30"/>
                <c:pt idx="0">
                  <c:v>11.9</c:v>
                </c:pt>
                <c:pt idx="1">
                  <c:v>13.7</c:v>
                </c:pt>
                <c:pt idx="2">
                  <c:v>15.2</c:v>
                </c:pt>
                <c:pt idx="3">
                  <c:v>13.2</c:v>
                </c:pt>
                <c:pt idx="4">
                  <c:v>9.3000000000000007</c:v>
                </c:pt>
                <c:pt idx="5">
                  <c:v>6.3</c:v>
                </c:pt>
                <c:pt idx="6">
                  <c:v>7.6</c:v>
                </c:pt>
                <c:pt idx="7">
                  <c:v>6.3</c:v>
                </c:pt>
                <c:pt idx="8">
                  <c:v>9.7000000000000011</c:v>
                </c:pt>
                <c:pt idx="9">
                  <c:v>7.5</c:v>
                </c:pt>
                <c:pt idx="10">
                  <c:v>8.2000000000000011</c:v>
                </c:pt>
                <c:pt idx="11">
                  <c:v>4.8</c:v>
                </c:pt>
                <c:pt idx="12">
                  <c:v>6.9</c:v>
                </c:pt>
                <c:pt idx="13">
                  <c:v>8.7000000000000011</c:v>
                </c:pt>
                <c:pt idx="14">
                  <c:v>8.6</c:v>
                </c:pt>
                <c:pt idx="15">
                  <c:v>8.4</c:v>
                </c:pt>
                <c:pt idx="16">
                  <c:v>11.4</c:v>
                </c:pt>
                <c:pt idx="17">
                  <c:v>12.4</c:v>
                </c:pt>
                <c:pt idx="18">
                  <c:v>13.7</c:v>
                </c:pt>
                <c:pt idx="19">
                  <c:v>13.5</c:v>
                </c:pt>
                <c:pt idx="20">
                  <c:v>11.8</c:v>
                </c:pt>
                <c:pt idx="21">
                  <c:v>10.1</c:v>
                </c:pt>
                <c:pt idx="22">
                  <c:v>15.5</c:v>
                </c:pt>
                <c:pt idx="23">
                  <c:v>15.8</c:v>
                </c:pt>
                <c:pt idx="24">
                  <c:v>14.5</c:v>
                </c:pt>
                <c:pt idx="25">
                  <c:v>16.600000000000001</c:v>
                </c:pt>
                <c:pt idx="26">
                  <c:v>17.600000000000001</c:v>
                </c:pt>
                <c:pt idx="27">
                  <c:v>18</c:v>
                </c:pt>
                <c:pt idx="28">
                  <c:v>20.2</c:v>
                </c:pt>
                <c:pt idx="29">
                  <c:v>16.8</c:v>
                </c:pt>
              </c:numCache>
            </c:numRef>
          </c:val>
        </c:ser>
        <c:marker val="1"/>
        <c:axId val="66900736"/>
        <c:axId val="66908160"/>
      </c:lineChart>
      <c:catAx>
        <c:axId val="66900736"/>
        <c:scaling>
          <c:orientation val="minMax"/>
        </c:scaling>
        <c:axPos val="b"/>
        <c:numFmt formatCode="General" sourceLinked="1"/>
        <c:tickLblPos val="nextTo"/>
        <c:crossAx val="66908160"/>
        <c:crosses val="autoZero"/>
        <c:auto val="1"/>
        <c:lblAlgn val="ctr"/>
        <c:lblOffset val="100"/>
      </c:catAx>
      <c:valAx>
        <c:axId val="66908160"/>
        <c:scaling>
          <c:orientation val="minMax"/>
          <c:max val="4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8.8836667163582198E-2"/>
              <c:y val="0.12325976205605289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66900736"/>
        <c:crosses val="autoZero"/>
        <c:crossBetween val="between"/>
        <c:majorUnit val="5"/>
        <c:minorUnit val="1"/>
      </c:valAx>
      <c:valAx>
        <c:axId val="66910080"/>
        <c:scaling>
          <c:orientation val="minMax"/>
          <c:max val="4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5871091353455364"/>
              <c:y val="0.1153762516774675"/>
            </c:manualLayout>
          </c:layout>
          <c:spPr>
            <a:solidFill>
              <a:schemeClr val="bg1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67151744"/>
        <c:crosses val="max"/>
        <c:crossBetween val="between"/>
        <c:majorUnit val="5"/>
        <c:minorUnit val="1"/>
      </c:valAx>
      <c:catAx>
        <c:axId val="67151744"/>
        <c:scaling>
          <c:orientation val="minMax"/>
        </c:scaling>
        <c:delete val="1"/>
        <c:axPos val="b"/>
        <c:numFmt formatCode="General" sourceLinked="1"/>
        <c:tickLblPos val="nextTo"/>
        <c:crossAx val="6691008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7.5905921075026986E-2"/>
          <c:y val="0.93103807038597863"/>
          <c:w val="0.88889735583194041"/>
          <c:h val="4.1721293584956506E-2"/>
        </c:manualLayout>
      </c:layout>
      <c:spPr>
        <a:ln>
          <a:solidFill>
            <a:schemeClr val="accent1"/>
          </a:solidFill>
        </a:ln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s-ES">
                <a:solidFill>
                  <a:srgbClr val="FF0000"/>
                </a:solidFill>
              </a:rPr>
              <a:t>EL</a:t>
            </a:r>
            <a:r>
              <a:rPr lang="es-ES" baseline="0">
                <a:solidFill>
                  <a:srgbClr val="FF0000"/>
                </a:solidFill>
              </a:rPr>
              <a:t> TIEMPO EN JUNIO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5811289857078312"/>
          <c:y val="2.1497052461611401E-2"/>
        </c:manualLayout>
      </c:layout>
      <c:overlay val="1"/>
      <c:spPr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9.0355356702536818E-2"/>
          <c:y val="0.2014253259422199"/>
          <c:w val="0.60369451599506463"/>
          <c:h val="0.47423545325520378"/>
        </c:manualLayout>
      </c:layout>
      <c:barChart>
        <c:barDir val="col"/>
        <c:grouping val="clustered"/>
        <c:ser>
          <c:idx val="1"/>
          <c:order val="1"/>
          <c:tx>
            <c:strRef>
              <c:f>Hoja1!$X$371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Hoja1!$V$372:$V$387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Hoja1!$X$372:$X$387</c:f>
              <c:numCache>
                <c:formatCode>General</c:formatCode>
                <c:ptCount val="16"/>
                <c:pt idx="0">
                  <c:v>48</c:v>
                </c:pt>
                <c:pt idx="1">
                  <c:v>18.5</c:v>
                </c:pt>
                <c:pt idx="2">
                  <c:v>55.5</c:v>
                </c:pt>
                <c:pt idx="3">
                  <c:v>44.9</c:v>
                </c:pt>
                <c:pt idx="4">
                  <c:v>53.6</c:v>
                </c:pt>
                <c:pt idx="5">
                  <c:v>27.6</c:v>
                </c:pt>
                <c:pt idx="6">
                  <c:v>69</c:v>
                </c:pt>
                <c:pt idx="7">
                  <c:v>14.8</c:v>
                </c:pt>
                <c:pt idx="8">
                  <c:v>20.5</c:v>
                </c:pt>
                <c:pt idx="9">
                  <c:v>63.3</c:v>
                </c:pt>
                <c:pt idx="10">
                  <c:v>9.9</c:v>
                </c:pt>
                <c:pt idx="11">
                  <c:v>89.6</c:v>
                </c:pt>
                <c:pt idx="12">
                  <c:v>1.4</c:v>
                </c:pt>
                <c:pt idx="13">
                  <c:v>15.7</c:v>
                </c:pt>
                <c:pt idx="14">
                  <c:v>76</c:v>
                </c:pt>
                <c:pt idx="15">
                  <c:v>16.2</c:v>
                </c:pt>
              </c:numCache>
            </c:numRef>
          </c:val>
        </c:ser>
        <c:axId val="71061504"/>
        <c:axId val="67223552"/>
      </c:barChart>
      <c:lineChart>
        <c:grouping val="standard"/>
        <c:ser>
          <c:idx val="0"/>
          <c:order val="0"/>
          <c:tx>
            <c:strRef>
              <c:f>Hoja1!$W$371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Hoja1!$V$372:$V$387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Hoja1!$W$372:$W$387</c:f>
              <c:numCache>
                <c:formatCode>General</c:formatCode>
                <c:ptCount val="16"/>
                <c:pt idx="0">
                  <c:v>18</c:v>
                </c:pt>
                <c:pt idx="1">
                  <c:v>22.3</c:v>
                </c:pt>
                <c:pt idx="2">
                  <c:v>21.6</c:v>
                </c:pt>
                <c:pt idx="3">
                  <c:v>18.100000000000001</c:v>
                </c:pt>
                <c:pt idx="4">
                  <c:v>19</c:v>
                </c:pt>
                <c:pt idx="5">
                  <c:v>20.7</c:v>
                </c:pt>
                <c:pt idx="6">
                  <c:v>18.5</c:v>
                </c:pt>
                <c:pt idx="7">
                  <c:v>18.8</c:v>
                </c:pt>
                <c:pt idx="8">
                  <c:v>20.100000000000001</c:v>
                </c:pt>
                <c:pt idx="9">
                  <c:v>16.7</c:v>
                </c:pt>
                <c:pt idx="10">
                  <c:v>18.7</c:v>
                </c:pt>
                <c:pt idx="11">
                  <c:v>20.6</c:v>
                </c:pt>
                <c:pt idx="12">
                  <c:v>19.3</c:v>
                </c:pt>
                <c:pt idx="13">
                  <c:v>22.3</c:v>
                </c:pt>
                <c:pt idx="14">
                  <c:v>19</c:v>
                </c:pt>
                <c:pt idx="15">
                  <c:v>19.399999999999999</c:v>
                </c:pt>
              </c:numCache>
            </c:numRef>
          </c:val>
        </c:ser>
        <c:marker val="1"/>
        <c:axId val="67189376"/>
        <c:axId val="67196032"/>
      </c:lineChart>
      <c:catAx>
        <c:axId val="67189376"/>
        <c:scaling>
          <c:orientation val="minMax"/>
        </c:scaling>
        <c:axPos val="b"/>
        <c:numFmt formatCode="General" sourceLinked="1"/>
        <c:tickLblPos val="nextTo"/>
        <c:txPr>
          <a:bodyPr rot="-2880000" anchor="ctr" anchorCtr="0"/>
          <a:lstStyle/>
          <a:p>
            <a:pPr>
              <a:defRPr b="1" i="0" baseline="0">
                <a:solidFill>
                  <a:srgbClr val="00B050"/>
                </a:solidFill>
              </a:defRPr>
            </a:pPr>
            <a:endParaRPr lang="es-ES"/>
          </a:p>
        </c:txPr>
        <c:crossAx val="67196032"/>
        <c:crosses val="autoZero"/>
        <c:auto val="1"/>
        <c:lblAlgn val="ctr"/>
        <c:lblOffset val="100"/>
      </c:catAx>
      <c:valAx>
        <c:axId val="67196032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39632513606522E-2"/>
              <c:y val="0.1252759317570879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67189376"/>
        <c:crosses val="autoZero"/>
        <c:crossBetween val="between"/>
        <c:majorUnit val="5"/>
        <c:minorUnit val="1"/>
      </c:valAx>
      <c:valAx>
        <c:axId val="67223552"/>
        <c:scaling>
          <c:orientation val="minMax"/>
          <c:max val="9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00B0F0"/>
                    </a:solidFill>
                  </a:defRPr>
                </a:pPr>
                <a:r>
                  <a:rPr lang="es-ES" sz="1200" b="1">
                    <a:solidFill>
                      <a:srgbClr val="00B0F0"/>
                    </a:solidFill>
                  </a:rPr>
                  <a:t>l/m</a:t>
                </a:r>
                <a:r>
                  <a:rPr lang="es-ES" sz="1200" b="1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3851761535137852"/>
              <c:y val="0.12959925578214768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71061504"/>
        <c:crosses val="max"/>
        <c:crossBetween val="between"/>
        <c:majorUnit val="10"/>
        <c:minorUnit val="1"/>
      </c:valAx>
      <c:catAx>
        <c:axId val="71061504"/>
        <c:scaling>
          <c:orientation val="minMax"/>
        </c:scaling>
        <c:delete val="1"/>
        <c:axPos val="b"/>
        <c:numFmt formatCode="General" sourceLinked="1"/>
        <c:tickLblPos val="nextTo"/>
        <c:crossAx val="6722355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623691405090286"/>
          <c:y val="0.28575284988661331"/>
          <c:w val="0.22299954292470711"/>
          <c:h val="0.31671407079427294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C00000"/>
                </a:solidFill>
              </a:defRPr>
            </a:pPr>
            <a:r>
              <a:rPr lang="en-US" sz="1700" baseline="0">
                <a:solidFill>
                  <a:srgbClr val="C00000"/>
                </a:solidFill>
              </a:rPr>
              <a:t>TEMPERATURAS  MÁXIMAS Y  MÍNIMAS ABSOLUTAS  Y  MEDIAS  EN  JUNIO</a:t>
            </a:r>
          </a:p>
        </c:rich>
      </c:tx>
      <c:layout>
        <c:manualLayout>
          <c:xMode val="edge"/>
          <c:yMode val="edge"/>
          <c:x val="0.18911705645331101"/>
          <c:y val="2.5257180170479621E-2"/>
        </c:manualLayout>
      </c:layout>
      <c:spPr>
        <a:noFill/>
        <a:ln>
          <a:solidFill>
            <a:srgbClr val="4F81BD"/>
          </a:solidFill>
        </a:ln>
      </c:spPr>
    </c:title>
    <c:plotArea>
      <c:layout>
        <c:manualLayout>
          <c:layoutTarget val="inner"/>
          <c:xMode val="edge"/>
          <c:yMode val="edge"/>
          <c:x val="6.4381183121340821E-2"/>
          <c:y val="0.24098868286625527"/>
          <c:w val="0.86431134310459423"/>
          <c:h val="0.5302377107055033"/>
        </c:manualLayout>
      </c:layout>
      <c:lineChart>
        <c:grouping val="standard"/>
        <c:ser>
          <c:idx val="0"/>
          <c:order val="0"/>
          <c:tx>
            <c:strRef>
              <c:f>Hoja1!$G$80</c:f>
              <c:strCache>
                <c:ptCount val="1"/>
                <c:pt idx="0">
                  <c:v>MÁXIMAS ABSOLUTAS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"/>
              <c:layout>
                <c:manualLayout>
                  <c:x val="0"/>
                  <c:y val="8.602150537634445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FF0000"/>
                        </a:solidFill>
                      </a:rPr>
                      <a:t>22,1</a:t>
                    </a:r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2.136752136752137E-3"/>
                  <c:y val="-9.3023255813953504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4"/>
              <c:layout>
                <c:manualLayout>
                  <c:x val="3.9173336640062777E-17"/>
                  <c:y val="-9.3023255813953504E-3"/>
                </c:manualLayout>
              </c:layout>
              <c:dLblPos val="t"/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layout>
                <c:manualLayout>
                  <c:x val="0"/>
                  <c:y val="7.1428571428571504E-3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2.3980364849753295E-3"/>
                  <c:y val="-8.7406770169700648E-3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2.1170886558969453E-3"/>
                  <c:y val="-6.871346215754871E-3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-5.5944055944055944E-3"/>
                  <c:y val="8.602150537634445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2"/>
              <c:layout>
                <c:manualLayout>
                  <c:x val="4.2735042735042739E-3"/>
                  <c:y val="-7.1427699444546943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3"/>
              <c:layout>
                <c:manualLayout>
                  <c:x val="-3.329171868497786E-3"/>
                  <c:y val="2.3724792408066002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4"/>
              <c:layout>
                <c:manualLayout>
                  <c:x val="-9.324009324009357E-3"/>
                  <c:y val="-7.5780204893743488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t"/>
              <c:showVal val="1"/>
            </c:dLbl>
            <c:dLbl>
              <c:idx val="15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Hoja1!$F$81:$F$96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Hoja1!$G$81:$G$96</c:f>
              <c:numCache>
                <c:formatCode>General</c:formatCode>
                <c:ptCount val="16"/>
                <c:pt idx="1">
                  <c:v>37.6</c:v>
                </c:pt>
                <c:pt idx="2">
                  <c:v>36</c:v>
                </c:pt>
                <c:pt idx="3">
                  <c:v>31.4</c:v>
                </c:pt>
                <c:pt idx="4">
                  <c:v>35.1</c:v>
                </c:pt>
                <c:pt idx="5">
                  <c:v>36.1</c:v>
                </c:pt>
                <c:pt idx="6">
                  <c:v>32.800000000000004</c:v>
                </c:pt>
                <c:pt idx="7">
                  <c:v>36.800000000000004</c:v>
                </c:pt>
                <c:pt idx="8">
                  <c:v>37.4</c:v>
                </c:pt>
                <c:pt idx="9">
                  <c:v>32.1</c:v>
                </c:pt>
                <c:pt idx="10">
                  <c:v>32.300000000000004</c:v>
                </c:pt>
                <c:pt idx="11">
                  <c:v>38.1</c:v>
                </c:pt>
                <c:pt idx="12">
                  <c:v>35.1</c:v>
                </c:pt>
                <c:pt idx="13">
                  <c:v>38.200000000000003</c:v>
                </c:pt>
                <c:pt idx="14">
                  <c:v>34.700000000000003</c:v>
                </c:pt>
                <c:pt idx="15">
                  <c:v>40.1</c:v>
                </c:pt>
              </c:numCache>
            </c:numRef>
          </c:val>
        </c:ser>
        <c:ser>
          <c:idx val="1"/>
          <c:order val="1"/>
          <c:tx>
            <c:strRef>
              <c:f>Hoja1!$H$80</c:f>
              <c:strCache>
                <c:ptCount val="1"/>
                <c:pt idx="0">
                  <c:v>MÍNIMAS ABSOLUTAS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noFill/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4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5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0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0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Hoja1!$F$81:$F$96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Hoja1!$H$81:$H$96</c:f>
              <c:numCache>
                <c:formatCode>General</c:formatCode>
                <c:ptCount val="16"/>
                <c:pt idx="1">
                  <c:v>8.5</c:v>
                </c:pt>
                <c:pt idx="2">
                  <c:v>5.8</c:v>
                </c:pt>
                <c:pt idx="3">
                  <c:v>6.8</c:v>
                </c:pt>
                <c:pt idx="4">
                  <c:v>8</c:v>
                </c:pt>
                <c:pt idx="5">
                  <c:v>8</c:v>
                </c:pt>
                <c:pt idx="6">
                  <c:v>6.5</c:v>
                </c:pt>
                <c:pt idx="7">
                  <c:v>6.6</c:v>
                </c:pt>
                <c:pt idx="8">
                  <c:v>7.7</c:v>
                </c:pt>
                <c:pt idx="9">
                  <c:v>4.5</c:v>
                </c:pt>
                <c:pt idx="10">
                  <c:v>6.7</c:v>
                </c:pt>
                <c:pt idx="11">
                  <c:v>8.2000000000000011</c:v>
                </c:pt>
                <c:pt idx="12">
                  <c:v>7.1</c:v>
                </c:pt>
                <c:pt idx="13">
                  <c:v>6.1</c:v>
                </c:pt>
                <c:pt idx="14">
                  <c:v>8.2000000000000011</c:v>
                </c:pt>
                <c:pt idx="15">
                  <c:v>4.8</c:v>
                </c:pt>
              </c:numCache>
            </c:numRef>
          </c:val>
        </c:ser>
        <c:ser>
          <c:idx val="2"/>
          <c:order val="2"/>
          <c:tx>
            <c:strRef>
              <c:f>Hoja1!$I$80</c:f>
              <c:strCache>
                <c:ptCount val="1"/>
                <c:pt idx="0">
                  <c:v>MEDIAS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spPr>
                <a:noFill/>
              </c:spPr>
              <c:txPr>
                <a:bodyPr/>
                <a:lstStyle/>
                <a:p>
                  <a:pPr>
                    <a:defRPr sz="1200" b="1" baseline="0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4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dLbl>
              <c:idx val="15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Hoja1!$F$81:$F$96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Hoja1!$I$81:$I$96</c:f>
              <c:numCache>
                <c:formatCode>General</c:formatCode>
                <c:ptCount val="16"/>
                <c:pt idx="0">
                  <c:v>18</c:v>
                </c:pt>
                <c:pt idx="1">
                  <c:v>22.3</c:v>
                </c:pt>
                <c:pt idx="2">
                  <c:v>21.6</c:v>
                </c:pt>
                <c:pt idx="3">
                  <c:v>18.100000000000001</c:v>
                </c:pt>
                <c:pt idx="4">
                  <c:v>19</c:v>
                </c:pt>
                <c:pt idx="5">
                  <c:v>20.7</c:v>
                </c:pt>
                <c:pt idx="6">
                  <c:v>18.5</c:v>
                </c:pt>
                <c:pt idx="7">
                  <c:v>18.8</c:v>
                </c:pt>
                <c:pt idx="8">
                  <c:v>20.100000000000001</c:v>
                </c:pt>
                <c:pt idx="9">
                  <c:v>16.7</c:v>
                </c:pt>
                <c:pt idx="10">
                  <c:v>18.7</c:v>
                </c:pt>
                <c:pt idx="11">
                  <c:v>20.6</c:v>
                </c:pt>
                <c:pt idx="12">
                  <c:v>19.3</c:v>
                </c:pt>
                <c:pt idx="13">
                  <c:v>22.3</c:v>
                </c:pt>
                <c:pt idx="14">
                  <c:v>19</c:v>
                </c:pt>
                <c:pt idx="15">
                  <c:v>19.399999999999999</c:v>
                </c:pt>
              </c:numCache>
            </c:numRef>
          </c:val>
        </c:ser>
        <c:dLbls>
          <c:showVal val="1"/>
        </c:dLbls>
        <c:marker val="1"/>
        <c:axId val="72580096"/>
        <c:axId val="72626944"/>
      </c:lineChart>
      <c:catAx>
        <c:axId val="72580096"/>
        <c:scaling>
          <c:orientation val="minMax"/>
        </c:scaling>
        <c:axPos val="b"/>
        <c:numFmt formatCode="General" sourceLinked="1"/>
        <c:tickLblPos val="low"/>
        <c:crossAx val="72626944"/>
        <c:crosses val="autoZero"/>
        <c:auto val="1"/>
        <c:lblAlgn val="ctr"/>
        <c:lblOffset val="100"/>
      </c:catAx>
      <c:valAx>
        <c:axId val="72626944"/>
        <c:scaling>
          <c:orientation val="minMax"/>
          <c:max val="4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FF0000"/>
                    </a:solidFill>
                  </a:defRPr>
                </a:pPr>
                <a:r>
                  <a:rPr lang="es-ES" sz="10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0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4630813586335096E-2"/>
              <c:y val="0.17984017356912343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72580096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0.12436049267426465"/>
          <c:y val="0.92803344930720499"/>
          <c:w val="0.70346826838952825"/>
          <c:h val="5.6489287676249771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2019-07-08T23:07:00Z</dcterms:created>
  <dcterms:modified xsi:type="dcterms:W3CDTF">2019-08-11T22:04:00Z</dcterms:modified>
</cp:coreProperties>
</file>