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7" w:rsidRDefault="009112C7" w:rsidP="009112C7">
      <w:pPr>
        <w:ind w:right="-568"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/>
          <w:b/>
          <w:color w:val="C00000"/>
          <w:sz w:val="44"/>
          <w:szCs w:val="44"/>
          <w:u w:val="single"/>
        </w:rPr>
        <w:t>EL TIEMPO EN DIC</w:t>
      </w:r>
      <w:r w:rsidRPr="00CB0BC5">
        <w:rPr>
          <w:rFonts w:ascii="Times New Roman" w:hAnsi="Times New Roman"/>
          <w:b/>
          <w:color w:val="C00000"/>
          <w:sz w:val="44"/>
          <w:szCs w:val="44"/>
          <w:u w:val="single"/>
        </w:rPr>
        <w:t>IEMBRE</w:t>
      </w:r>
      <w:r>
        <w:rPr>
          <w:rFonts w:ascii="Times New Roman" w:hAnsi="Times New Roman"/>
          <w:b/>
          <w:color w:val="C00000"/>
          <w:sz w:val="44"/>
          <w:szCs w:val="44"/>
          <w:u w:val="single"/>
        </w:rPr>
        <w:t xml:space="preserve"> DE 2019</w:t>
      </w:r>
    </w:p>
    <w:p w:rsidR="009112C7" w:rsidRPr="00E92D10" w:rsidRDefault="00366C87" w:rsidP="009112C7">
      <w:pPr>
        <w:ind w:right="-568"/>
        <w:jc w:val="center"/>
        <w:rPr>
          <w:color w:val="7030A0"/>
          <w:sz w:val="34"/>
          <w:szCs w:val="34"/>
        </w:rPr>
      </w:pPr>
      <w:r>
        <w:rPr>
          <w:rFonts w:ascii="Times New Roman" w:hAnsi="Times New Roman"/>
          <w:b/>
          <w:color w:val="7030A0"/>
          <w:sz w:val="34"/>
          <w:szCs w:val="34"/>
          <w:u w:val="single"/>
        </w:rPr>
        <w:t>BORRASCA ELSA: VIENTOS Y LLUVIA</w:t>
      </w:r>
      <w:r w:rsidR="009112C7" w:rsidRPr="00E92D10">
        <w:rPr>
          <w:rFonts w:ascii="Times New Roman" w:hAnsi="Times New Roman"/>
          <w:b/>
          <w:color w:val="7030A0"/>
          <w:sz w:val="34"/>
          <w:szCs w:val="34"/>
          <w:u w:val="single"/>
        </w:rPr>
        <w:t>S FUERTES</w:t>
      </w:r>
    </w:p>
    <w:p w:rsidR="009112C7" w:rsidRDefault="009112C7" w:rsidP="009112C7">
      <w:pPr>
        <w:spacing w:before="100" w:beforeAutospacing="1" w:after="100" w:afterAutospacing="1"/>
        <w:ind w:right="-568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76852">
        <w:rPr>
          <w:rFonts w:ascii="Times New Roman" w:hAnsi="Times New Roman"/>
          <w:b/>
          <w:bCs/>
          <w:color w:val="FF0000"/>
          <w:sz w:val="36"/>
          <w:szCs w:val="36"/>
        </w:rPr>
        <w:t>Diciembre, con una temperatura media de 6,7º, fue un mes moderadamente frío</w:t>
      </w:r>
      <w:r w:rsidRPr="00476852">
        <w:rPr>
          <w:rFonts w:ascii="Times New Roman" w:hAnsi="Times New Roman"/>
          <w:b/>
          <w:bCs/>
          <w:sz w:val="36"/>
          <w:szCs w:val="36"/>
        </w:rPr>
        <w:t xml:space="preserve">.   </w:t>
      </w:r>
      <w:r w:rsidRPr="00476852">
        <w:rPr>
          <w:rFonts w:ascii="Times New Roman" w:hAnsi="Times New Roman"/>
          <w:b/>
          <w:bCs/>
          <w:color w:val="FF0000"/>
          <w:sz w:val="36"/>
          <w:szCs w:val="36"/>
        </w:rPr>
        <w:t xml:space="preserve">La media fue 2,7º más alta que </w:t>
      </w:r>
      <w:proofErr w:type="gramStart"/>
      <w:r w:rsidRPr="00476852">
        <w:rPr>
          <w:rFonts w:ascii="Times New Roman" w:hAnsi="Times New Roman"/>
          <w:b/>
          <w:bCs/>
          <w:color w:val="FF0000"/>
          <w:sz w:val="36"/>
          <w:szCs w:val="36"/>
        </w:rPr>
        <w:t>la media</w:t>
      </w:r>
      <w:proofErr w:type="gramEnd"/>
      <w:r w:rsidRPr="00476852">
        <w:rPr>
          <w:rFonts w:ascii="Times New Roman" w:hAnsi="Times New Roman"/>
          <w:b/>
          <w:bCs/>
          <w:color w:val="FF0000"/>
          <w:sz w:val="36"/>
          <w:szCs w:val="36"/>
        </w:rPr>
        <w:t xml:space="preserve"> general (4º)</w:t>
      </w:r>
      <w:r w:rsidRPr="000D11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E633E">
        <w:rPr>
          <w:rFonts w:ascii="Times New Roman" w:hAnsi="Times New Roman"/>
          <w:b/>
          <w:bCs/>
          <w:color w:val="FF0000"/>
          <w:sz w:val="32"/>
          <w:szCs w:val="32"/>
        </w:rPr>
        <w:t xml:space="preserve">y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la  más elevada</w:t>
      </w:r>
      <w:r w:rsidRPr="00BE633E">
        <w:rPr>
          <w:rFonts w:ascii="Times New Roman" w:hAnsi="Times New Roman"/>
          <w:b/>
          <w:bCs/>
          <w:color w:val="FF0000"/>
          <w:sz w:val="32"/>
          <w:szCs w:val="32"/>
        </w:rPr>
        <w:t xml:space="preserve"> de los últimos 15 años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9112C7" w:rsidRDefault="009112C7" w:rsidP="009112C7">
      <w:pPr>
        <w:spacing w:before="100" w:beforeAutospacing="1" w:after="100" w:afterAutospacing="1"/>
        <w:ind w:right="-568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112C7" w:rsidRPr="001407B8" w:rsidRDefault="009112C7" w:rsidP="009112C7">
      <w:pPr>
        <w:ind w:right="-568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Heló 7 días </w:t>
      </w:r>
      <w:r w:rsidRPr="00064FC0">
        <w:rPr>
          <w:rFonts w:ascii="Times New Roman" w:hAnsi="Times New Roman"/>
          <w:color w:val="000000" w:themeColor="text1"/>
          <w:sz w:val="32"/>
          <w:szCs w:val="32"/>
        </w:rPr>
        <w:t>(heladas débiles o moderadas)</w:t>
      </w:r>
      <w:r w:rsidRPr="001407B8">
        <w:rPr>
          <w:rFonts w:ascii="Times New Roman" w:hAnsi="Times New Roman"/>
          <w:b/>
          <w:bCs/>
          <w:color w:val="FF0000"/>
          <w:sz w:val="32"/>
          <w:szCs w:val="32"/>
        </w:rPr>
        <w:t xml:space="preserve"> y hubo 11 días con niebla </w:t>
      </w:r>
      <w:r w:rsidRPr="00064FC0">
        <w:rPr>
          <w:rFonts w:ascii="Times New Roman" w:hAnsi="Times New Roman"/>
          <w:b/>
          <w:bCs/>
          <w:color w:val="000000" w:themeColor="text1"/>
          <w:sz w:val="32"/>
          <w:szCs w:val="32"/>
        </w:rPr>
        <w:t>(</w:t>
      </w:r>
      <w:r w:rsidRPr="00064FC0">
        <w:rPr>
          <w:rFonts w:ascii="Times New Roman" w:hAnsi="Times New Roman"/>
          <w:color w:val="000000" w:themeColor="text1"/>
          <w:sz w:val="32"/>
          <w:szCs w:val="32"/>
        </w:rPr>
        <w:t>medias o altas y la mitad de ellas persistentes, sobre todo las del final del mes).</w:t>
      </w:r>
      <w:r w:rsidRPr="001407B8">
        <w:rPr>
          <w:rFonts w:ascii="Times New Roman" w:hAnsi="Times New Roman"/>
          <w:sz w:val="32"/>
          <w:szCs w:val="32"/>
        </w:rPr>
        <w:t xml:space="preserve">   </w:t>
      </w:r>
    </w:p>
    <w:p w:rsidR="009112C7" w:rsidRPr="001407B8" w:rsidRDefault="009112C7" w:rsidP="009112C7">
      <w:pPr>
        <w:spacing w:before="100" w:beforeAutospacing="1" w:after="100" w:afterAutospacing="1"/>
        <w:ind w:right="-568"/>
        <w:contextualSpacing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>El día más frío fue el 31, con 0,6º de media</w:t>
      </w:r>
      <w:r w:rsidRPr="001407B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>2,8º de máxima y</w:t>
      </w:r>
      <w:r w:rsidRPr="001407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 xml:space="preserve">–1,6º de mínima, </w:t>
      </w:r>
      <w:r>
        <w:rPr>
          <w:rFonts w:ascii="Times New Roman" w:hAnsi="Times New Roman"/>
          <w:color w:val="000000" w:themeColor="text1"/>
          <w:sz w:val="28"/>
          <w:szCs w:val="28"/>
        </w:rPr>
        <w:t>debido a la niebla</w:t>
      </w:r>
      <w:r w:rsidRPr="001407B8">
        <w:rPr>
          <w:rFonts w:ascii="Times New Roman" w:hAnsi="Times New Roman"/>
          <w:color w:val="000000" w:themeColor="text1"/>
          <w:sz w:val="28"/>
          <w:szCs w:val="28"/>
        </w:rPr>
        <w:t xml:space="preserve"> persistente</w:t>
      </w: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>El día más templado, el 21, con 15,8º de máxima y 12º de media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r w:rsidRPr="00BE633E">
        <w:rPr>
          <w:rFonts w:ascii="Times New Roman" w:hAnsi="Times New Roman"/>
          <w:color w:val="000000" w:themeColor="text1"/>
          <w:sz w:val="28"/>
          <w:szCs w:val="28"/>
        </w:rPr>
        <w:t>por el paso del frente cálido de la borrasca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47223">
        <w:rPr>
          <w:rFonts w:ascii="Times New Roman" w:hAnsi="Times New Roman"/>
          <w:color w:val="000000" w:themeColor="text1"/>
          <w:sz w:val="28"/>
          <w:szCs w:val="28"/>
        </w:rPr>
        <w:t>Fabien</w:t>
      </w:r>
      <w:proofErr w:type="spellEnd"/>
      <w:r w:rsidRPr="0064722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D344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1407B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9112C7" w:rsidRPr="00647223" w:rsidRDefault="009112C7" w:rsidP="009112C7">
      <w:pPr>
        <w:ind w:right="-568"/>
        <w:contextualSpacing/>
        <w:rPr>
          <w:rFonts w:ascii="Times New Roman" w:hAnsi="Times New Roman"/>
          <w:color w:val="FF0000"/>
          <w:sz w:val="32"/>
          <w:szCs w:val="32"/>
        </w:rPr>
      </w:pPr>
      <w:r w:rsidRPr="00647223">
        <w:rPr>
          <w:rFonts w:ascii="Times New Roman" w:hAnsi="Times New Roman"/>
          <w:b/>
          <w:bCs/>
          <w:color w:val="FF0000"/>
          <w:sz w:val="32"/>
          <w:szCs w:val="32"/>
        </w:rPr>
        <w:t>La racha más fuerte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de viento</w:t>
      </w:r>
      <w:r w:rsidRPr="00647223">
        <w:rPr>
          <w:rFonts w:ascii="Times New Roman" w:hAnsi="Times New Roman"/>
          <w:b/>
          <w:bCs/>
          <w:color w:val="FF0000"/>
          <w:sz w:val="32"/>
          <w:szCs w:val="32"/>
        </w:rPr>
        <w:t>, los 61 km/h del SW del día 16.</w:t>
      </w:r>
      <w:r w:rsidRPr="00647223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9112C7" w:rsidRDefault="009112C7" w:rsidP="009112C7"/>
    <w:p w:rsidR="009112C7" w:rsidRPr="00BE633E" w:rsidRDefault="009112C7" w:rsidP="009112C7">
      <w:pPr>
        <w:ind w:right="-56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D344E">
        <w:rPr>
          <w:rFonts w:ascii="Times New Roman" w:hAnsi="Times New Roman"/>
          <w:b/>
          <w:bCs/>
          <w:color w:val="0070C0"/>
          <w:sz w:val="36"/>
          <w:szCs w:val="36"/>
        </w:rPr>
        <w:t>Las precipitaciones fueron medias-altas (65,3 l/m</w:t>
      </w:r>
      <w:r w:rsidRPr="006D344E">
        <w:rPr>
          <w:rFonts w:ascii="Times New Roman" w:hAnsi="Times New Roman"/>
          <w:b/>
          <w:bCs/>
          <w:color w:val="0070C0"/>
          <w:sz w:val="36"/>
          <w:szCs w:val="36"/>
          <w:vertAlign w:val="superscript"/>
        </w:rPr>
        <w:t>2</w:t>
      </w:r>
      <w:r w:rsidRPr="006D344E">
        <w:rPr>
          <w:rFonts w:ascii="Times New Roman" w:hAnsi="Times New Roman"/>
          <w:b/>
          <w:bCs/>
          <w:color w:val="0070C0"/>
          <w:sz w:val="36"/>
          <w:szCs w:val="36"/>
        </w:rPr>
        <w:t>), un 50% más que la media general (40 litros),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BE633E">
        <w:rPr>
          <w:rFonts w:ascii="Times New Roman" w:hAnsi="Times New Roman"/>
          <w:color w:val="000000" w:themeColor="text1"/>
          <w:sz w:val="28"/>
          <w:szCs w:val="28"/>
        </w:rPr>
        <w:t xml:space="preserve">bastante más altas que las de muchos años anteriores (entre 10 y 20 litros). </w:t>
      </w:r>
    </w:p>
    <w:p w:rsidR="009112C7" w:rsidRDefault="009112C7" w:rsidP="009112C7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6D344E">
        <w:rPr>
          <w:rFonts w:ascii="Times New Roman" w:hAnsi="Times New Roman"/>
          <w:b/>
          <w:bCs/>
          <w:color w:val="0070C0"/>
          <w:sz w:val="32"/>
          <w:szCs w:val="32"/>
        </w:rPr>
        <w:t>Llovió 11 días</w:t>
      </w:r>
      <w:r w:rsidRPr="00EA71A8">
        <w:rPr>
          <w:rFonts w:ascii="Times New Roman" w:hAnsi="Times New Roman"/>
          <w:sz w:val="24"/>
          <w:szCs w:val="24"/>
        </w:rPr>
        <w:t xml:space="preserve">, </w:t>
      </w:r>
      <w:r w:rsidRPr="006D344E">
        <w:rPr>
          <w:rFonts w:ascii="Times New Roman" w:hAnsi="Times New Roman"/>
          <w:sz w:val="28"/>
          <w:szCs w:val="28"/>
        </w:rPr>
        <w:t>pero sobre todo en la 3ª semana del mes</w:t>
      </w:r>
      <w:r>
        <w:rPr>
          <w:rFonts w:ascii="Times New Roman" w:hAnsi="Times New Roman"/>
          <w:sz w:val="24"/>
          <w:szCs w:val="24"/>
        </w:rPr>
        <w:t>,</w:t>
      </w:r>
      <w:r w:rsidRPr="005D2A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44E">
        <w:rPr>
          <w:rFonts w:ascii="Times New Roman" w:hAnsi="Times New Roman"/>
          <w:b/>
          <w:bCs/>
          <w:color w:val="0070C0"/>
          <w:sz w:val="28"/>
          <w:szCs w:val="28"/>
        </w:rPr>
        <w:t>debido al paso</w:t>
      </w:r>
      <w:r w:rsidRPr="006D344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D344E">
        <w:rPr>
          <w:rFonts w:ascii="Times New Roman" w:hAnsi="Times New Roman"/>
          <w:b/>
          <w:bCs/>
          <w:color w:val="0070C0"/>
          <w:sz w:val="28"/>
          <w:szCs w:val="28"/>
        </w:rPr>
        <w:t>de dos borrascas muy activas (ELSA Y FABIEN)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44E">
        <w:rPr>
          <w:rFonts w:ascii="Times New Roman" w:hAnsi="Times New Roman"/>
          <w:b/>
          <w:bCs/>
          <w:color w:val="0070C0"/>
          <w:sz w:val="32"/>
          <w:szCs w:val="32"/>
        </w:rPr>
        <w:t>siendo</w:t>
      </w:r>
      <w:r w:rsidRPr="006D344E">
        <w:rPr>
          <w:rFonts w:ascii="Times New Roman" w:hAnsi="Times New Roman"/>
          <w:sz w:val="32"/>
          <w:szCs w:val="32"/>
        </w:rPr>
        <w:t xml:space="preserve"> </w:t>
      </w:r>
      <w:r w:rsidRPr="006D344E">
        <w:rPr>
          <w:rFonts w:ascii="Times New Roman" w:hAnsi="Times New Roman"/>
          <w:b/>
          <w:bCs/>
          <w:color w:val="0070C0"/>
          <w:sz w:val="32"/>
          <w:szCs w:val="32"/>
        </w:rPr>
        <w:t>la máxima los 34,8  l/m</w:t>
      </w:r>
      <w:r w:rsidRPr="006D344E">
        <w:rPr>
          <w:rFonts w:ascii="Times New Roman" w:hAnsi="Times New Roman"/>
          <w:b/>
          <w:bCs/>
          <w:color w:val="0070C0"/>
          <w:sz w:val="32"/>
          <w:szCs w:val="32"/>
          <w:vertAlign w:val="superscript"/>
        </w:rPr>
        <w:t>2</w:t>
      </w:r>
      <w:r w:rsidRPr="006D344E">
        <w:rPr>
          <w:rFonts w:ascii="Times New Roman" w:hAnsi="Times New Roman"/>
          <w:b/>
          <w:bCs/>
          <w:color w:val="0070C0"/>
          <w:sz w:val="32"/>
          <w:szCs w:val="32"/>
        </w:rPr>
        <w:t xml:space="preserve"> del día 19.</w:t>
      </w:r>
      <w:r w:rsidRPr="00873C4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6D344E">
        <w:rPr>
          <w:rFonts w:ascii="Times New Roman" w:hAnsi="Times New Roman"/>
          <w:color w:val="000000" w:themeColor="text1"/>
          <w:sz w:val="28"/>
          <w:szCs w:val="28"/>
        </w:rPr>
        <w:t>El resto del mes llo</w:t>
      </w:r>
      <w:r>
        <w:rPr>
          <w:rFonts w:ascii="Times New Roman" w:hAnsi="Times New Roman"/>
          <w:color w:val="000000" w:themeColor="text1"/>
          <w:sz w:val="28"/>
          <w:szCs w:val="28"/>
        </w:rPr>
        <w:t>vió</w:t>
      </w:r>
      <w:r w:rsidRPr="006D344E">
        <w:rPr>
          <w:rFonts w:ascii="Times New Roman" w:hAnsi="Times New Roman"/>
          <w:color w:val="000000" w:themeColor="text1"/>
          <w:sz w:val="28"/>
          <w:szCs w:val="28"/>
        </w:rPr>
        <w:t xml:space="preserve"> poco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9112C7" w:rsidRDefault="009112C7" w:rsidP="009112C7"/>
    <w:p w:rsidR="009112C7" w:rsidRDefault="009112C7" w:rsidP="009112C7">
      <w:r w:rsidRPr="00064FC0">
        <w:rPr>
          <w:noProof/>
          <w:lang w:eastAsia="es-ES" w:bidi="ar-SA"/>
        </w:rPr>
        <w:drawing>
          <wp:inline distT="0" distB="0" distL="0" distR="0">
            <wp:extent cx="5886450" cy="3381375"/>
            <wp:effectExtent l="19050" t="0" r="19050" b="0"/>
            <wp:docPr id="1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112C7" w:rsidRPr="0093091E" w:rsidRDefault="009112C7" w:rsidP="009112C7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  <w:r w:rsidRPr="0093091E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  <w:lastRenderedPageBreak/>
        <w:t>TEMPERATURAS  Y  PRECIPITACIONES DE DICIEMBRE</w:t>
      </w:r>
    </w:p>
    <w:tbl>
      <w:tblPr>
        <w:tblW w:w="5754" w:type="pct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560"/>
        <w:gridCol w:w="560"/>
        <w:gridCol w:w="541"/>
        <w:gridCol w:w="561"/>
        <w:gridCol w:w="680"/>
        <w:gridCol w:w="680"/>
        <w:gridCol w:w="543"/>
        <w:gridCol w:w="561"/>
        <w:gridCol w:w="561"/>
        <w:gridCol w:w="561"/>
        <w:gridCol w:w="561"/>
        <w:gridCol w:w="571"/>
        <w:gridCol w:w="615"/>
        <w:gridCol w:w="611"/>
        <w:gridCol w:w="611"/>
      </w:tblGrid>
      <w:tr w:rsidR="009112C7" w:rsidRPr="00B34496" w:rsidTr="002A457D">
        <w:trPr>
          <w:cantSplit/>
          <w:jc w:val="center"/>
        </w:trPr>
        <w:tc>
          <w:tcPr>
            <w:tcW w:w="5000" w:type="pct"/>
            <w:gridSpan w:val="16"/>
          </w:tcPr>
          <w:p w:rsidR="009112C7" w:rsidRPr="00BA64B6" w:rsidRDefault="009112C7" w:rsidP="002A457D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9112C7" w:rsidRPr="008933CC" w:rsidRDefault="009112C7" w:rsidP="002A457D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9112C7" w:rsidRPr="00B34496" w:rsidTr="002A457D">
        <w:trPr>
          <w:cantSplit/>
          <w:jc w:val="center"/>
        </w:trPr>
        <w:tc>
          <w:tcPr>
            <w:tcW w:w="589" w:type="pct"/>
          </w:tcPr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9112C7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1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281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7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34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34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273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82" w:type="pct"/>
            <w:vAlign w:val="center"/>
          </w:tcPr>
          <w:p w:rsidR="009112C7" w:rsidRPr="00B55856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82" w:type="pct"/>
            <w:vAlign w:val="center"/>
          </w:tcPr>
          <w:p w:rsidR="009112C7" w:rsidRPr="00D74C13" w:rsidRDefault="009112C7" w:rsidP="002A457D">
            <w:pPr>
              <w:keepNext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282" w:type="pct"/>
            <w:vAlign w:val="center"/>
          </w:tcPr>
          <w:p w:rsidR="009112C7" w:rsidRPr="00B34496" w:rsidRDefault="009112C7" w:rsidP="002A457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287" w:type="pct"/>
            <w:vAlign w:val="center"/>
          </w:tcPr>
          <w:p w:rsidR="009112C7" w:rsidRPr="00AF466F" w:rsidRDefault="009112C7" w:rsidP="002A457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F466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309" w:type="pct"/>
            <w:vAlign w:val="center"/>
          </w:tcPr>
          <w:p w:rsidR="009112C7" w:rsidRPr="00AF466F" w:rsidRDefault="009112C7" w:rsidP="002A457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F466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307" w:type="pct"/>
            <w:vAlign w:val="center"/>
          </w:tcPr>
          <w:p w:rsidR="009112C7" w:rsidRPr="00360066" w:rsidRDefault="009112C7" w:rsidP="002A457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2019</w:t>
            </w:r>
          </w:p>
        </w:tc>
      </w:tr>
      <w:tr w:rsidR="009112C7" w:rsidRPr="00A2640E" w:rsidTr="002A457D">
        <w:trPr>
          <w:cantSplit/>
          <w:jc w:val="center"/>
        </w:trPr>
        <w:tc>
          <w:tcPr>
            <w:tcW w:w="589" w:type="pct"/>
            <w:vAlign w:val="center"/>
          </w:tcPr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4,0</w:t>
            </w:r>
          </w:p>
        </w:tc>
        <w:tc>
          <w:tcPr>
            <w:tcW w:w="281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3,9</w:t>
            </w:r>
          </w:p>
        </w:tc>
        <w:tc>
          <w:tcPr>
            <w:tcW w:w="281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4,0</w:t>
            </w:r>
          </w:p>
        </w:tc>
        <w:tc>
          <w:tcPr>
            <w:tcW w:w="27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34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34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4,2</w:t>
            </w:r>
          </w:p>
        </w:tc>
        <w:tc>
          <w:tcPr>
            <w:tcW w:w="273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282" w:type="pct"/>
            <w:vAlign w:val="center"/>
          </w:tcPr>
          <w:p w:rsidR="009112C7" w:rsidRPr="009E39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39C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4,0</w:t>
            </w:r>
          </w:p>
        </w:tc>
        <w:tc>
          <w:tcPr>
            <w:tcW w:w="282" w:type="pct"/>
            <w:vAlign w:val="center"/>
          </w:tcPr>
          <w:p w:rsidR="009112C7" w:rsidRPr="00041809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04180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4,3</w:t>
            </w:r>
          </w:p>
        </w:tc>
        <w:tc>
          <w:tcPr>
            <w:tcW w:w="282" w:type="pct"/>
            <w:vAlign w:val="center"/>
          </w:tcPr>
          <w:p w:rsidR="009112C7" w:rsidRPr="005F656C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F65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287" w:type="pct"/>
            <w:vAlign w:val="center"/>
          </w:tcPr>
          <w:p w:rsidR="009112C7" w:rsidRPr="00991475" w:rsidRDefault="009112C7" w:rsidP="002A457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991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5,4</w:t>
            </w:r>
          </w:p>
        </w:tc>
        <w:tc>
          <w:tcPr>
            <w:tcW w:w="309" w:type="pct"/>
            <w:vAlign w:val="center"/>
          </w:tcPr>
          <w:p w:rsidR="009112C7" w:rsidRPr="00AF466F" w:rsidRDefault="009112C7" w:rsidP="002A457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AF46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5 ,0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6,4</w:t>
            </w:r>
          </w:p>
        </w:tc>
        <w:tc>
          <w:tcPr>
            <w:tcW w:w="307" w:type="pct"/>
            <w:vAlign w:val="center"/>
          </w:tcPr>
          <w:p w:rsidR="009112C7" w:rsidRPr="00360066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6,7</w:t>
            </w:r>
          </w:p>
        </w:tc>
      </w:tr>
      <w:tr w:rsidR="009112C7" w:rsidRPr="00BA64B6" w:rsidTr="002A457D">
        <w:trPr>
          <w:cantSplit/>
          <w:jc w:val="center"/>
        </w:trPr>
        <w:tc>
          <w:tcPr>
            <w:tcW w:w="5000" w:type="pct"/>
            <w:gridSpan w:val="16"/>
          </w:tcPr>
          <w:p w:rsidR="009112C7" w:rsidRPr="00BA64B6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9112C7" w:rsidRPr="008933CC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PRECIPITACIONES TOTALES (l/m</w:t>
            </w:r>
            <w:r w:rsidRPr="008933CC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vertAlign w:val="superscript"/>
                <w:lang w:eastAsia="es-ES"/>
              </w:rPr>
              <w:t>2</w:t>
            </w:r>
            <w:r w:rsidRPr="008933CC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)</w:t>
            </w:r>
          </w:p>
        </w:tc>
      </w:tr>
      <w:tr w:rsidR="009112C7" w:rsidRPr="00A2640E" w:rsidTr="002A457D">
        <w:trPr>
          <w:cantSplit/>
          <w:jc w:val="center"/>
        </w:trPr>
        <w:tc>
          <w:tcPr>
            <w:tcW w:w="589" w:type="pct"/>
          </w:tcPr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81" w:type="pct"/>
            <w:vAlign w:val="center"/>
          </w:tcPr>
          <w:p w:rsidR="009112C7" w:rsidRPr="00DE622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281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27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34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4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273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82" w:type="pct"/>
            <w:vAlign w:val="center"/>
          </w:tcPr>
          <w:p w:rsidR="009112C7" w:rsidRPr="00AF0274" w:rsidRDefault="009112C7" w:rsidP="002A457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282" w:type="pct"/>
            <w:vAlign w:val="center"/>
          </w:tcPr>
          <w:p w:rsidR="009112C7" w:rsidRPr="00DE622B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287" w:type="pct"/>
            <w:vAlign w:val="center"/>
          </w:tcPr>
          <w:p w:rsidR="009112C7" w:rsidRPr="00991475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99147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309" w:type="pct"/>
            <w:vAlign w:val="center"/>
          </w:tcPr>
          <w:p w:rsidR="009112C7" w:rsidRPr="00AF466F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AF466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2017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2018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4"/>
                <w:lang w:eastAsia="es-ES"/>
              </w:rPr>
            </w:pPr>
            <w:r w:rsidRPr="008933CC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4"/>
                <w:lang w:eastAsia="es-ES"/>
              </w:rPr>
              <w:t>2019</w:t>
            </w:r>
          </w:p>
        </w:tc>
      </w:tr>
      <w:tr w:rsidR="009112C7" w:rsidRPr="00A2640E" w:rsidTr="002A457D">
        <w:trPr>
          <w:cantSplit/>
          <w:trHeight w:val="426"/>
          <w:jc w:val="center"/>
        </w:trPr>
        <w:tc>
          <w:tcPr>
            <w:tcW w:w="589" w:type="pct"/>
            <w:vAlign w:val="center"/>
          </w:tcPr>
          <w:p w:rsidR="009112C7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</w:p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281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20,0</w:t>
            </w:r>
          </w:p>
        </w:tc>
        <w:tc>
          <w:tcPr>
            <w:tcW w:w="281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18,5</w:t>
            </w:r>
          </w:p>
        </w:tc>
        <w:tc>
          <w:tcPr>
            <w:tcW w:w="27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 xml:space="preserve"> 6,2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56,5</w:t>
            </w:r>
          </w:p>
        </w:tc>
        <w:tc>
          <w:tcPr>
            <w:tcW w:w="342" w:type="pct"/>
            <w:vAlign w:val="center"/>
          </w:tcPr>
          <w:p w:rsidR="009112C7" w:rsidRPr="00715490" w:rsidRDefault="009112C7" w:rsidP="002A457D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715490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128,2</w:t>
            </w:r>
          </w:p>
        </w:tc>
        <w:tc>
          <w:tcPr>
            <w:tcW w:w="342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107,0</w:t>
            </w:r>
          </w:p>
        </w:tc>
        <w:tc>
          <w:tcPr>
            <w:tcW w:w="273" w:type="pct"/>
            <w:vAlign w:val="center"/>
          </w:tcPr>
          <w:p w:rsidR="009112C7" w:rsidRPr="004C4A6B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9,3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29,7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71,9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10,4</w:t>
            </w:r>
          </w:p>
        </w:tc>
        <w:tc>
          <w:tcPr>
            <w:tcW w:w="282" w:type="pct"/>
            <w:vAlign w:val="center"/>
          </w:tcPr>
          <w:p w:rsidR="009112C7" w:rsidRPr="004C4A6B" w:rsidRDefault="009112C7" w:rsidP="002A457D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19,2</w:t>
            </w:r>
          </w:p>
        </w:tc>
        <w:tc>
          <w:tcPr>
            <w:tcW w:w="287" w:type="pct"/>
            <w:vAlign w:val="center"/>
          </w:tcPr>
          <w:p w:rsidR="009112C7" w:rsidRPr="00991475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991475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12,4</w:t>
            </w:r>
          </w:p>
        </w:tc>
        <w:tc>
          <w:tcPr>
            <w:tcW w:w="309" w:type="pct"/>
            <w:vAlign w:val="center"/>
          </w:tcPr>
          <w:p w:rsidR="009112C7" w:rsidRPr="00AF466F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AF466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30,9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8933C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21,7</w:t>
            </w:r>
          </w:p>
        </w:tc>
        <w:tc>
          <w:tcPr>
            <w:tcW w:w="307" w:type="pct"/>
            <w:vAlign w:val="center"/>
          </w:tcPr>
          <w:p w:rsidR="009112C7" w:rsidRPr="008933CC" w:rsidRDefault="009112C7" w:rsidP="002A457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8933CC">
              <w:rPr>
                <w:rFonts w:ascii="Times New Roman" w:eastAsia="Times New Roman" w:hAnsi="Times New Roman" w:cs="Arial"/>
                <w:b/>
                <w:bCs/>
                <w:color w:val="0070C0"/>
                <w:sz w:val="24"/>
                <w:szCs w:val="24"/>
                <w:lang w:eastAsia="es-ES"/>
              </w:rPr>
              <w:t>65,3</w:t>
            </w:r>
          </w:p>
        </w:tc>
      </w:tr>
    </w:tbl>
    <w:p w:rsidR="009112C7" w:rsidRDefault="009112C7" w:rsidP="009112C7"/>
    <w:p w:rsidR="009112C7" w:rsidRDefault="00B11FFA" w:rsidP="00B11FFA">
      <w:pPr>
        <w:ind w:left="-142"/>
      </w:pPr>
      <w:r w:rsidRPr="00B11FFA">
        <w:drawing>
          <wp:inline distT="0" distB="0" distL="0" distR="0">
            <wp:extent cx="5953125" cy="3800475"/>
            <wp:effectExtent l="19050" t="0" r="9525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2C7" w:rsidRDefault="009112C7" w:rsidP="009112C7"/>
    <w:p w:rsidR="009112C7" w:rsidRPr="00651B9E" w:rsidRDefault="009112C7" w:rsidP="009112C7">
      <w:pPr>
        <w:ind w:right="-568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651B9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NOTA</w:t>
      </w:r>
    </w:p>
    <w:p w:rsidR="009112C7" w:rsidRPr="00651B9E" w:rsidRDefault="009112C7" w:rsidP="009112C7">
      <w:pPr>
        <w:ind w:right="-568"/>
        <w:contextualSpacing/>
        <w:rPr>
          <w:rFonts w:ascii="Times New Roman" w:hAnsi="Times New Roman"/>
          <w:b/>
          <w:color w:val="0070C0"/>
          <w:sz w:val="28"/>
          <w:szCs w:val="28"/>
        </w:rPr>
      </w:pPr>
      <w:r w:rsidRPr="00651B9E">
        <w:rPr>
          <w:rFonts w:ascii="Times New Roman" w:hAnsi="Times New Roman"/>
          <w:b/>
          <w:color w:val="0070C0"/>
          <w:sz w:val="28"/>
          <w:szCs w:val="28"/>
        </w:rPr>
        <w:t>Informe realizado por ZACARÍAS DIEZ GARCÍA, con los datos de la estación digital DAVIS, instalada en el IES ALONSO BERRUGUETE  de Palencia.</w:t>
      </w:r>
    </w:p>
    <w:p w:rsidR="009112C7" w:rsidRDefault="009112C7" w:rsidP="009112C7"/>
    <w:p w:rsidR="009112C7" w:rsidRDefault="00366C87" w:rsidP="009112C7">
      <w:r w:rsidRPr="00366C87">
        <w:rPr>
          <w:noProof/>
          <w:lang w:eastAsia="es-ES" w:bidi="ar-SA"/>
        </w:rPr>
        <w:lastRenderedPageBreak/>
        <w:drawing>
          <wp:inline distT="0" distB="0" distL="0" distR="0">
            <wp:extent cx="5886450" cy="3705225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6C87" w:rsidRPr="00DF1582" w:rsidRDefault="00366C87" w:rsidP="00517FC2">
      <w:pPr>
        <w:ind w:right="-85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F1582">
        <w:rPr>
          <w:rFonts w:ascii="Times New Roman" w:hAnsi="Times New Roman" w:cs="Times New Roman"/>
          <w:b/>
          <w:bCs/>
          <w:sz w:val="24"/>
          <w:szCs w:val="24"/>
        </w:rPr>
        <w:t>La temperatura máxim</w:t>
      </w:r>
      <w:r>
        <w:rPr>
          <w:rFonts w:ascii="Times New Roman" w:hAnsi="Times New Roman" w:cs="Times New Roman"/>
          <w:b/>
          <w:bCs/>
          <w:sz w:val="24"/>
          <w:szCs w:val="24"/>
        </w:rPr>
        <w:t>a absoluta del mes ha sido de 15,8º, una de las más altas de este siglo</w:t>
      </w:r>
      <w:r w:rsidRPr="00DF1582">
        <w:rPr>
          <w:rFonts w:ascii="Times New Roman" w:hAnsi="Times New Roman" w:cs="Times New Roman"/>
          <w:b/>
          <w:bCs/>
          <w:sz w:val="24"/>
          <w:szCs w:val="24"/>
        </w:rPr>
        <w:t>, y la  mínima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absoluta, -2</w:t>
      </w:r>
      <w:r w:rsidRPr="00DF1582">
        <w:rPr>
          <w:rFonts w:ascii="Times New Roman" w:hAnsi="Times New Roman" w:cs="Times New Roman"/>
          <w:b/>
          <w:bCs/>
          <w:sz w:val="24"/>
          <w:szCs w:val="24"/>
        </w:rPr>
        <w:t xml:space="preserve">º, 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2ª </w:t>
      </w:r>
      <w:r w:rsidRPr="00DF1582">
        <w:rPr>
          <w:rFonts w:ascii="Times New Roman" w:hAnsi="Times New Roman" w:cs="Times New Roman"/>
          <w:b/>
          <w:bCs/>
          <w:sz w:val="24"/>
          <w:szCs w:val="24"/>
        </w:rPr>
        <w:t xml:space="preserve">menos baja de todos los años anteriores. </w:t>
      </w:r>
      <w:r w:rsidR="00517FC2">
        <w:rPr>
          <w:rFonts w:ascii="Times New Roman" w:hAnsi="Times New Roman" w:cs="Times New Roman"/>
          <w:b/>
          <w:bCs/>
          <w:sz w:val="24"/>
          <w:szCs w:val="24"/>
        </w:rPr>
        <w:t xml:space="preserve"> Ha helado pocos días, pero hemos tenido bastantes nieblas, sobre todo al final del mes.</w:t>
      </w:r>
    </w:p>
    <w:p w:rsidR="00366C87" w:rsidRDefault="00366C87" w:rsidP="00366C87">
      <w:pPr>
        <w:ind w:right="-99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366C87" w:rsidRPr="00241C0A" w:rsidRDefault="00366C87" w:rsidP="00517FC2">
      <w:pPr>
        <w:ind w:right="-99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dic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iembre ha </w:t>
      </w:r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llovido pocos días (7), pero ha llovido </w:t>
      </w:r>
      <w:proofErr w:type="gramStart"/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bastante</w:t>
      </w:r>
      <w:proofErr w:type="gramEnd"/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(65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,3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litros), </w:t>
      </w:r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aunque más de la mitad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de las lluvias (34,8 litros)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cayeron e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n </w:t>
      </w:r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un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solo </w:t>
      </w:r>
      <w:r w:rsidR="00517FC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día (el 19), por la borrasca ELSA.</w:t>
      </w:r>
    </w:p>
    <w:p w:rsidR="00366C87" w:rsidRDefault="00366C87" w:rsidP="009112C7">
      <w:pPr>
        <w:contextualSpacing/>
      </w:pPr>
    </w:p>
    <w:p w:rsidR="006324FF" w:rsidRPr="00517FC2" w:rsidRDefault="00BA4DEC" w:rsidP="00517FC2">
      <w:r w:rsidRPr="00BA4DEC">
        <w:rPr>
          <w:noProof/>
          <w:lang w:eastAsia="es-ES" w:bidi="ar-SA"/>
        </w:rPr>
        <w:drawing>
          <wp:inline distT="0" distB="0" distL="0" distR="0">
            <wp:extent cx="5886450" cy="3581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324FF" w:rsidRPr="00517FC2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2C7"/>
    <w:rsid w:val="000E0FD0"/>
    <w:rsid w:val="001E0AF2"/>
    <w:rsid w:val="00290C2C"/>
    <w:rsid w:val="00366C87"/>
    <w:rsid w:val="00372EEB"/>
    <w:rsid w:val="004A6D34"/>
    <w:rsid w:val="004C6CAB"/>
    <w:rsid w:val="00517FC2"/>
    <w:rsid w:val="00561A4F"/>
    <w:rsid w:val="006324FF"/>
    <w:rsid w:val="006F2056"/>
    <w:rsid w:val="007D26AD"/>
    <w:rsid w:val="008A1949"/>
    <w:rsid w:val="009112C7"/>
    <w:rsid w:val="00B11FFA"/>
    <w:rsid w:val="00BA4DEC"/>
    <w:rsid w:val="00E01897"/>
    <w:rsid w:val="00FB2B72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C7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2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C7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TABLA%20DE%20DATOS%20B&#193;SICOS%20DAVIS%20-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TABLA%20DE%20DATOS%20B&#193;SICOS%20DAVIS%20-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meses%202019%20-%20Davis\12.-%20Gr&#225;ficas%20y%20tablas%20diciembre%202019%20-%20Dav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meses%202019%20-%20Davis\12.-%20Gr&#225;ficas%20y%20tablas%20diciembre%202019%20-%20Dav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DICIEMBRE DE 2019</a:t>
            </a:r>
          </a:p>
        </c:rich>
      </c:tx>
      <c:layout>
        <c:manualLayout>
          <c:xMode val="edge"/>
          <c:yMode val="edge"/>
          <c:x val="0.21672561158862791"/>
          <c:y val="1.7453573020353601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8.7228617561687025E-2"/>
          <c:y val="0.21383175656654421"/>
          <c:w val="0.84458015267175568"/>
          <c:h val="0.58326262158406572"/>
        </c:manualLayout>
      </c:layout>
      <c:barChart>
        <c:barDir val="col"/>
        <c:grouping val="clustered"/>
        <c:ser>
          <c:idx val="2"/>
          <c:order val="2"/>
          <c:tx>
            <c:strRef>
              <c:f>Hoja1!$Y$745:$Y$746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Hoja1!$V$747:$V$777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Hoja1!$Y$747:$Y$777</c:f>
              <c:numCache>
                <c:formatCode>General</c:formatCode>
                <c:ptCount val="31"/>
                <c:pt idx="0">
                  <c:v>5.2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0.2</c:v>
                </c:pt>
                <c:pt idx="7">
                  <c:v>1.4</c:v>
                </c:pt>
                <c:pt idx="8">
                  <c:v>0.2</c:v>
                </c:pt>
                <c:pt idx="9">
                  <c:v>0.4</c:v>
                </c:pt>
                <c:pt idx="10">
                  <c:v>1.2</c:v>
                </c:pt>
                <c:pt idx="11">
                  <c:v>0.1</c:v>
                </c:pt>
                <c:pt idx="12">
                  <c:v>0</c:v>
                </c:pt>
                <c:pt idx="13">
                  <c:v>0.1</c:v>
                </c:pt>
                <c:pt idx="14">
                  <c:v>0</c:v>
                </c:pt>
                <c:pt idx="15">
                  <c:v>0</c:v>
                </c:pt>
                <c:pt idx="16">
                  <c:v>0.2</c:v>
                </c:pt>
                <c:pt idx="17">
                  <c:v>0.1</c:v>
                </c:pt>
                <c:pt idx="18">
                  <c:v>34.800000000000004</c:v>
                </c:pt>
                <c:pt idx="19">
                  <c:v>11.6</c:v>
                </c:pt>
                <c:pt idx="20">
                  <c:v>7.4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0.2</c:v>
                </c:pt>
                <c:pt idx="26">
                  <c:v>0.2</c:v>
                </c:pt>
                <c:pt idx="27">
                  <c:v>0</c:v>
                </c:pt>
                <c:pt idx="28">
                  <c:v>0.4</c:v>
                </c:pt>
                <c:pt idx="29">
                  <c:v>0.2</c:v>
                </c:pt>
                <c:pt idx="30">
                  <c:v>0.2</c:v>
                </c:pt>
              </c:numCache>
            </c:numRef>
          </c:val>
        </c:ser>
        <c:axId val="45568384"/>
        <c:axId val="45566208"/>
      </c:barChart>
      <c:lineChart>
        <c:grouping val="standard"/>
        <c:ser>
          <c:idx val="0"/>
          <c:order val="0"/>
          <c:tx>
            <c:strRef>
              <c:f>Hoja1!$W$745:$W$746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Hoja1!$V$747:$V$777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Hoja1!$W$747:$W$777</c:f>
              <c:numCache>
                <c:formatCode>General</c:formatCode>
                <c:ptCount val="31"/>
                <c:pt idx="0">
                  <c:v>7.7</c:v>
                </c:pt>
                <c:pt idx="1">
                  <c:v>8.8000000000000007</c:v>
                </c:pt>
                <c:pt idx="2">
                  <c:v>5.9</c:v>
                </c:pt>
                <c:pt idx="3">
                  <c:v>10.5</c:v>
                </c:pt>
                <c:pt idx="4">
                  <c:v>10.6</c:v>
                </c:pt>
                <c:pt idx="5">
                  <c:v>10.1</c:v>
                </c:pt>
                <c:pt idx="6">
                  <c:v>6.8</c:v>
                </c:pt>
                <c:pt idx="7">
                  <c:v>8.8000000000000007</c:v>
                </c:pt>
                <c:pt idx="8">
                  <c:v>9.1</c:v>
                </c:pt>
                <c:pt idx="9">
                  <c:v>6.8</c:v>
                </c:pt>
                <c:pt idx="10">
                  <c:v>9.1</c:v>
                </c:pt>
                <c:pt idx="11">
                  <c:v>11</c:v>
                </c:pt>
                <c:pt idx="12">
                  <c:v>15.2</c:v>
                </c:pt>
                <c:pt idx="13">
                  <c:v>12</c:v>
                </c:pt>
                <c:pt idx="14">
                  <c:v>12.8</c:v>
                </c:pt>
                <c:pt idx="15">
                  <c:v>13.1</c:v>
                </c:pt>
                <c:pt idx="16">
                  <c:v>10.6</c:v>
                </c:pt>
                <c:pt idx="17">
                  <c:v>10.7</c:v>
                </c:pt>
                <c:pt idx="18">
                  <c:v>11.6</c:v>
                </c:pt>
                <c:pt idx="19">
                  <c:v>12.4</c:v>
                </c:pt>
                <c:pt idx="20">
                  <c:v>15.8</c:v>
                </c:pt>
                <c:pt idx="21">
                  <c:v>12.4</c:v>
                </c:pt>
                <c:pt idx="22">
                  <c:v>10.6</c:v>
                </c:pt>
                <c:pt idx="23">
                  <c:v>12.4</c:v>
                </c:pt>
                <c:pt idx="24">
                  <c:v>12</c:v>
                </c:pt>
                <c:pt idx="25">
                  <c:v>10.4</c:v>
                </c:pt>
                <c:pt idx="26">
                  <c:v>4.3</c:v>
                </c:pt>
                <c:pt idx="27">
                  <c:v>6.8</c:v>
                </c:pt>
                <c:pt idx="28">
                  <c:v>10.200000000000001</c:v>
                </c:pt>
                <c:pt idx="29">
                  <c:v>3.8</c:v>
                </c:pt>
                <c:pt idx="30">
                  <c:v>2.8</c:v>
                </c:pt>
              </c:numCache>
            </c:numRef>
          </c:val>
        </c:ser>
        <c:ser>
          <c:idx val="1"/>
          <c:order val="1"/>
          <c:tx>
            <c:strRef>
              <c:f>Hoja1!$X$745:$X$746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5"/>
          </c:marker>
          <c:cat>
            <c:numRef>
              <c:f>Hoja1!$V$747:$V$777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Hoja1!$X$747:$X$777</c:f>
              <c:numCache>
                <c:formatCode>General</c:formatCode>
                <c:ptCount val="31"/>
                <c:pt idx="0">
                  <c:v>5.6</c:v>
                </c:pt>
                <c:pt idx="1">
                  <c:v>3.5</c:v>
                </c:pt>
                <c:pt idx="2">
                  <c:v>0.9</c:v>
                </c:pt>
                <c:pt idx="3">
                  <c:v>-0.2</c:v>
                </c:pt>
                <c:pt idx="4">
                  <c:v>5.4</c:v>
                </c:pt>
                <c:pt idx="5">
                  <c:v>0.60000000000000064</c:v>
                </c:pt>
                <c:pt idx="6">
                  <c:v>1.5</c:v>
                </c:pt>
                <c:pt idx="7">
                  <c:v>2.4</c:v>
                </c:pt>
                <c:pt idx="8">
                  <c:v>2.1</c:v>
                </c:pt>
                <c:pt idx="9">
                  <c:v>-0.4</c:v>
                </c:pt>
                <c:pt idx="10">
                  <c:v>2.2000000000000002</c:v>
                </c:pt>
                <c:pt idx="11">
                  <c:v>4.5999999999999996</c:v>
                </c:pt>
                <c:pt idx="12">
                  <c:v>8.7000000000000011</c:v>
                </c:pt>
                <c:pt idx="13">
                  <c:v>7.1</c:v>
                </c:pt>
                <c:pt idx="14">
                  <c:v>8.4</c:v>
                </c:pt>
                <c:pt idx="15">
                  <c:v>8.4</c:v>
                </c:pt>
                <c:pt idx="16">
                  <c:v>4.3</c:v>
                </c:pt>
                <c:pt idx="17">
                  <c:v>1.6</c:v>
                </c:pt>
                <c:pt idx="18">
                  <c:v>7.7</c:v>
                </c:pt>
                <c:pt idx="19">
                  <c:v>7.2</c:v>
                </c:pt>
                <c:pt idx="20">
                  <c:v>8.2000000000000011</c:v>
                </c:pt>
                <c:pt idx="21">
                  <c:v>6.6</c:v>
                </c:pt>
                <c:pt idx="22">
                  <c:v>3.7</c:v>
                </c:pt>
                <c:pt idx="23">
                  <c:v>7.2</c:v>
                </c:pt>
                <c:pt idx="24">
                  <c:v>5.0999999999999996</c:v>
                </c:pt>
                <c:pt idx="25">
                  <c:v>2.2999999999999998</c:v>
                </c:pt>
                <c:pt idx="26">
                  <c:v>-0.60000000000000064</c:v>
                </c:pt>
                <c:pt idx="27">
                  <c:v>-2</c:v>
                </c:pt>
                <c:pt idx="28">
                  <c:v>-1.9000000000000001</c:v>
                </c:pt>
                <c:pt idx="29">
                  <c:v>-0.70000000000000062</c:v>
                </c:pt>
                <c:pt idx="30">
                  <c:v>-1.6</c:v>
                </c:pt>
              </c:numCache>
            </c:numRef>
          </c:val>
        </c:ser>
        <c:marker val="1"/>
        <c:axId val="45558400"/>
        <c:axId val="45564288"/>
      </c:lineChart>
      <c:dateAx>
        <c:axId val="45558400"/>
        <c:scaling>
          <c:orientation val="minMax"/>
        </c:scaling>
        <c:axPos val="b"/>
        <c:numFmt formatCode="General" sourceLinked="1"/>
        <c:tickLblPos val="low"/>
        <c:crossAx val="45564288"/>
        <c:crosses val="autoZero"/>
        <c:lblOffset val="100"/>
        <c:baseTimeUnit val="days"/>
      </c:dateAx>
      <c:valAx>
        <c:axId val="45564288"/>
        <c:scaling>
          <c:orientation val="minMax"/>
          <c:max val="25"/>
          <c:min val="-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1537657029512526E-2"/>
              <c:y val="0.13563568704855267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45558400"/>
        <c:crosses val="autoZero"/>
        <c:crossBetween val="between"/>
        <c:majorUnit val="5"/>
        <c:minorUnit val="1"/>
      </c:valAx>
      <c:valAx>
        <c:axId val="45566208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70C0"/>
                    </a:solidFill>
                  </a:defRPr>
                </a:pPr>
                <a:r>
                  <a:rPr lang="es-ES" sz="1200" baseline="0">
                    <a:solidFill>
                      <a:srgbClr val="0070C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7387517781651503"/>
              <c:y val="0.13831327687812642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45568384"/>
        <c:crosses val="max"/>
        <c:crossBetween val="between"/>
      </c:valAx>
      <c:catAx>
        <c:axId val="45568384"/>
        <c:scaling>
          <c:orientation val="minMax"/>
        </c:scaling>
        <c:delete val="1"/>
        <c:axPos val="b"/>
        <c:numFmt formatCode="General" sourceLinked="1"/>
        <c:tickLblPos val="nextTo"/>
        <c:crossAx val="4556620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5.3298608153115448E-2"/>
          <c:y val="0.92210092048353165"/>
          <c:w val="0.87980901150880453"/>
          <c:h val="5.3800007393442068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EL</a:t>
            </a:r>
            <a:r>
              <a:rPr lang="es-ES" baseline="0">
                <a:solidFill>
                  <a:srgbClr val="FF0000"/>
                </a:solidFill>
              </a:rPr>
              <a:t> TIEMPO EN DICIEMBRE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2474549081364834"/>
          <c:y val="1.9823311559739248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977730183727035E-2"/>
          <c:y val="0.23251444871299826"/>
          <c:w val="0.61053194750656181"/>
          <c:h val="0.51709955214071501"/>
        </c:manualLayout>
      </c:layout>
      <c:barChart>
        <c:barDir val="col"/>
        <c:grouping val="clustered"/>
        <c:ser>
          <c:idx val="1"/>
          <c:order val="1"/>
          <c:tx>
            <c:strRef>
              <c:f>Hoja1!$X$784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Hoja1!$V$785:$V$800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Hoja1!$X$785:$X$800</c:f>
              <c:numCache>
                <c:formatCode>General</c:formatCode>
                <c:ptCount val="16"/>
                <c:pt idx="0">
                  <c:v>40</c:v>
                </c:pt>
                <c:pt idx="1">
                  <c:v>20</c:v>
                </c:pt>
                <c:pt idx="2">
                  <c:v>18.5</c:v>
                </c:pt>
                <c:pt idx="3">
                  <c:v>6.2</c:v>
                </c:pt>
                <c:pt idx="4">
                  <c:v>56.5</c:v>
                </c:pt>
                <c:pt idx="5">
                  <c:v>128.19999999999999</c:v>
                </c:pt>
                <c:pt idx="6">
                  <c:v>107</c:v>
                </c:pt>
                <c:pt idx="7">
                  <c:v>9.3000000000000007</c:v>
                </c:pt>
                <c:pt idx="8">
                  <c:v>29.7</c:v>
                </c:pt>
                <c:pt idx="9">
                  <c:v>71.900000000000006</c:v>
                </c:pt>
                <c:pt idx="10">
                  <c:v>10.4</c:v>
                </c:pt>
                <c:pt idx="11">
                  <c:v>19.2</c:v>
                </c:pt>
                <c:pt idx="12">
                  <c:v>12.4</c:v>
                </c:pt>
                <c:pt idx="13">
                  <c:v>30.9</c:v>
                </c:pt>
                <c:pt idx="14">
                  <c:v>21.7</c:v>
                </c:pt>
                <c:pt idx="15">
                  <c:v>65.3</c:v>
                </c:pt>
              </c:numCache>
            </c:numRef>
          </c:val>
        </c:ser>
        <c:axId val="147682048"/>
        <c:axId val="147675776"/>
      </c:barChart>
      <c:lineChart>
        <c:grouping val="standard"/>
        <c:ser>
          <c:idx val="0"/>
          <c:order val="0"/>
          <c:tx>
            <c:strRef>
              <c:f>Hoja1!$W$784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</c:spPr>
          </c:marker>
          <c:cat>
            <c:strRef>
              <c:f>Hoja1!$V$785:$V$800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Hoja1!$W$785:$W$800</c:f>
              <c:numCache>
                <c:formatCode>General</c:formatCode>
                <c:ptCount val="16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3.6</c:v>
                </c:pt>
                <c:pt idx="4">
                  <c:v>4.2</c:v>
                </c:pt>
                <c:pt idx="5">
                  <c:v>4.5999999999999996</c:v>
                </c:pt>
                <c:pt idx="6">
                  <c:v>4.2</c:v>
                </c:pt>
                <c:pt idx="7">
                  <c:v>4.9000000000000004</c:v>
                </c:pt>
                <c:pt idx="8">
                  <c:v>5.6</c:v>
                </c:pt>
                <c:pt idx="9">
                  <c:v>4</c:v>
                </c:pt>
                <c:pt idx="10">
                  <c:v>4.3</c:v>
                </c:pt>
                <c:pt idx="11">
                  <c:v>6.6</c:v>
                </c:pt>
                <c:pt idx="12">
                  <c:v>5.4</c:v>
                </c:pt>
                <c:pt idx="13">
                  <c:v>5</c:v>
                </c:pt>
                <c:pt idx="14">
                  <c:v>6.4</c:v>
                </c:pt>
                <c:pt idx="15">
                  <c:v>6.7</c:v>
                </c:pt>
              </c:numCache>
            </c:numRef>
          </c:val>
        </c:ser>
        <c:marker val="1"/>
        <c:axId val="147655296"/>
        <c:axId val="147673856"/>
      </c:lineChart>
      <c:catAx>
        <c:axId val="147655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es-ES"/>
          </a:p>
        </c:txPr>
        <c:crossAx val="147673856"/>
        <c:crosses val="autoZero"/>
        <c:auto val="1"/>
        <c:lblAlgn val="ctr"/>
        <c:lblOffset val="100"/>
      </c:catAx>
      <c:valAx>
        <c:axId val="147673856"/>
        <c:scaling>
          <c:orientation val="minMax"/>
          <c:max val="1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2928000000000024E-2"/>
              <c:y val="0.15816786059637289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47655296"/>
        <c:crosses val="autoZero"/>
        <c:crossBetween val="between"/>
        <c:majorUnit val="3"/>
        <c:minorUnit val="1"/>
      </c:valAx>
      <c:valAx>
        <c:axId val="147675776"/>
        <c:scaling>
          <c:orientation val="minMax"/>
          <c:max val="1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4420972178477698"/>
              <c:y val="0.16283832941934889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47682048"/>
        <c:crosses val="max"/>
        <c:crossBetween val="between"/>
        <c:majorUnit val="20"/>
        <c:minorUnit val="1"/>
      </c:valAx>
      <c:catAx>
        <c:axId val="147682048"/>
        <c:scaling>
          <c:orientation val="minMax"/>
        </c:scaling>
        <c:delete val="1"/>
        <c:axPos val="b"/>
        <c:numFmt formatCode="General" sourceLinked="1"/>
        <c:tickLblPos val="nextTo"/>
        <c:crossAx val="14767577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7340422047244095"/>
          <c:y val="0.34987468671679206"/>
          <c:w val="0.21093694488188983"/>
          <c:h val="0.27549766805465115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TEMPERATURAS  MÁXIMAS Y MÍNIMAS ABSOLUTAS  Y  MEDIAS  EN DICIEMBRE</a:t>
            </a:r>
          </a:p>
        </c:rich>
      </c:tx>
      <c:layout>
        <c:manualLayout>
          <c:xMode val="edge"/>
          <c:yMode val="edge"/>
          <c:x val="0.17995701993561483"/>
          <c:y val="1.6136824655920787E-2"/>
        </c:manualLayout>
      </c:layout>
      <c:spPr>
        <a:noFill/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644620733269771E-2"/>
          <c:y val="0.22246691531979554"/>
          <c:w val="0.90093223365805863"/>
          <c:h val="0.54426661141041577"/>
        </c:manualLayout>
      </c:layout>
      <c:lineChart>
        <c:grouping val="standard"/>
        <c:ser>
          <c:idx val="0"/>
          <c:order val="0"/>
          <c:tx>
            <c:strRef>
              <c:f>Hoja1!$I$86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12,5</a:t>
                    </a:r>
                  </a:p>
                </c:rich>
              </c:tx>
              <c:dLblPos val="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layout>
                <c:manualLayout>
                  <c:x val="-5.594405594405594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4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Hoja1!$H$87:$H$102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Hoja1!$I$87:$I$102</c:f>
              <c:numCache>
                <c:formatCode>General</c:formatCode>
                <c:ptCount val="16"/>
                <c:pt idx="0">
                  <c:v>11.9</c:v>
                </c:pt>
                <c:pt idx="1">
                  <c:v>16.5</c:v>
                </c:pt>
                <c:pt idx="2">
                  <c:v>12.5</c:v>
                </c:pt>
                <c:pt idx="3">
                  <c:v>12</c:v>
                </c:pt>
                <c:pt idx="4">
                  <c:v>14.3</c:v>
                </c:pt>
                <c:pt idx="5">
                  <c:v>16.100000000000001</c:v>
                </c:pt>
                <c:pt idx="6">
                  <c:v>14.4</c:v>
                </c:pt>
                <c:pt idx="7">
                  <c:v>15</c:v>
                </c:pt>
                <c:pt idx="8">
                  <c:v>12.7</c:v>
                </c:pt>
                <c:pt idx="9">
                  <c:v>13.2</c:v>
                </c:pt>
                <c:pt idx="10">
                  <c:v>16.7</c:v>
                </c:pt>
                <c:pt idx="11">
                  <c:v>14.5</c:v>
                </c:pt>
                <c:pt idx="12">
                  <c:v>14.8</c:v>
                </c:pt>
                <c:pt idx="13">
                  <c:v>13.8</c:v>
                </c:pt>
                <c:pt idx="14">
                  <c:v>15.8</c:v>
                </c:pt>
              </c:numCache>
            </c:numRef>
          </c:val>
        </c:ser>
        <c:ser>
          <c:idx val="1"/>
          <c:order val="1"/>
          <c:tx>
            <c:strRef>
              <c:f>Hoja1!$J$86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layout>
                <c:manualLayout>
                  <c:x val="3.3291718684977205E-3"/>
                  <c:y val="2.4509803921568631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4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Hoja1!$H$87:$H$102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Hoja1!$J$87:$J$102</c:f>
              <c:numCache>
                <c:formatCode>General</c:formatCode>
                <c:ptCount val="16"/>
                <c:pt idx="0">
                  <c:v>-6.5</c:v>
                </c:pt>
                <c:pt idx="1">
                  <c:v>-5.6</c:v>
                </c:pt>
                <c:pt idx="2">
                  <c:v>-7</c:v>
                </c:pt>
                <c:pt idx="3">
                  <c:v>-6.5</c:v>
                </c:pt>
                <c:pt idx="4">
                  <c:v>-11.6</c:v>
                </c:pt>
                <c:pt idx="5">
                  <c:v>-6.8</c:v>
                </c:pt>
                <c:pt idx="6">
                  <c:v>-4.5999999999999996</c:v>
                </c:pt>
                <c:pt idx="7">
                  <c:v>-2.6</c:v>
                </c:pt>
                <c:pt idx="8">
                  <c:v>-6.2</c:v>
                </c:pt>
                <c:pt idx="9">
                  <c:v>-5.4</c:v>
                </c:pt>
                <c:pt idx="10">
                  <c:v>-4.2</c:v>
                </c:pt>
                <c:pt idx="11">
                  <c:v>-5.2</c:v>
                </c:pt>
                <c:pt idx="12">
                  <c:v>-3.9</c:v>
                </c:pt>
                <c:pt idx="13">
                  <c:v>-1.8</c:v>
                </c:pt>
                <c:pt idx="14">
                  <c:v>-2</c:v>
                </c:pt>
              </c:numCache>
            </c:numRef>
          </c:val>
        </c:ser>
        <c:ser>
          <c:idx val="2"/>
          <c:order val="2"/>
          <c:tx>
            <c:strRef>
              <c:f>Hoja1!$K$86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4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Hoja1!$H$87:$H$102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Hoja1!$K$87:$K$102</c:f>
              <c:numCache>
                <c:formatCode>General</c:formatCode>
                <c:ptCount val="16"/>
                <c:pt idx="0">
                  <c:v>3.9</c:v>
                </c:pt>
                <c:pt idx="1">
                  <c:v>4</c:v>
                </c:pt>
                <c:pt idx="2">
                  <c:v>3.6</c:v>
                </c:pt>
                <c:pt idx="3">
                  <c:v>4.2</c:v>
                </c:pt>
                <c:pt idx="4">
                  <c:v>4.5999999999999996</c:v>
                </c:pt>
                <c:pt idx="5">
                  <c:v>4.2</c:v>
                </c:pt>
                <c:pt idx="6">
                  <c:v>4.9000000000000004</c:v>
                </c:pt>
                <c:pt idx="7">
                  <c:v>5.6</c:v>
                </c:pt>
                <c:pt idx="8">
                  <c:v>4</c:v>
                </c:pt>
                <c:pt idx="9">
                  <c:v>4.3</c:v>
                </c:pt>
                <c:pt idx="10">
                  <c:v>6.6</c:v>
                </c:pt>
                <c:pt idx="11">
                  <c:v>5.4</c:v>
                </c:pt>
                <c:pt idx="12">
                  <c:v>5</c:v>
                </c:pt>
                <c:pt idx="13">
                  <c:v>6.4</c:v>
                </c:pt>
                <c:pt idx="14">
                  <c:v>6.7</c:v>
                </c:pt>
                <c:pt idx="15">
                  <c:v>4</c:v>
                </c:pt>
              </c:numCache>
            </c:numRef>
          </c:val>
        </c:ser>
        <c:dLbls>
          <c:showVal val="1"/>
        </c:dLbls>
        <c:marker val="1"/>
        <c:axId val="47057920"/>
        <c:axId val="47067904"/>
      </c:lineChart>
      <c:catAx>
        <c:axId val="47057920"/>
        <c:scaling>
          <c:orientation val="minMax"/>
        </c:scaling>
        <c:axPos val="b"/>
        <c:numFmt formatCode="General" sourceLinked="1"/>
        <c:tickLblPos val="low"/>
        <c:crossAx val="47067904"/>
        <c:crosses val="autoZero"/>
        <c:auto val="1"/>
        <c:lblAlgn val="ctr"/>
        <c:lblOffset val="100"/>
      </c:catAx>
      <c:valAx>
        <c:axId val="47067904"/>
        <c:scaling>
          <c:orientation val="minMax"/>
          <c:max val="20"/>
          <c:min val="-1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4439005049462442E-2"/>
              <c:y val="0.15930694824596744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47057920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12436049267426465"/>
          <c:y val="0.90632792695784758"/>
          <c:w val="0.7165849774396178"/>
          <c:h val="5.9590147385422974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00B0F0"/>
                </a:solidFill>
              </a:defRPr>
            </a:pPr>
            <a:r>
              <a:rPr lang="en-US" baseline="0">
                <a:solidFill>
                  <a:srgbClr val="00B0F0"/>
                </a:solidFill>
              </a:rPr>
              <a:t>PRECIPITACIONES  EN  DICIEMBRE POR AÑOS</a:t>
            </a:r>
          </a:p>
        </c:rich>
      </c:tx>
      <c:layout>
        <c:manualLayout>
          <c:xMode val="edge"/>
          <c:yMode val="edge"/>
          <c:x val="0.15092070048620987"/>
          <c:y val="2.1424304059179319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0.10936210643572469"/>
          <c:y val="0.17001510361076991"/>
          <c:w val="0.82320617689779052"/>
          <c:h val="0.65557672298635306"/>
        </c:manualLayout>
      </c:layout>
      <c:barChart>
        <c:barDir val="col"/>
        <c:grouping val="clustered"/>
        <c:ser>
          <c:idx val="0"/>
          <c:order val="0"/>
          <c:tx>
            <c:strRef>
              <c:f>Hoja1!$F$11</c:f>
              <c:strCache>
                <c:ptCount val="1"/>
                <c:pt idx="0">
                  <c:v>Total Mensual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6"/>
              </a:solidFill>
            </a:ln>
          </c:spPr>
          <c:dLbls>
            <c:dLbl>
              <c:idx val="0"/>
              <c:layout>
                <c:manualLayout>
                  <c:x val="4.0837161817253971E-3"/>
                  <c:y val="-2.056555269922878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3710368466152589E-2"/>
                </c:manualLayout>
              </c:layout>
              <c:showVal val="1"/>
            </c:dLbl>
            <c:dLbl>
              <c:idx val="2"/>
              <c:layout>
                <c:manualLayout>
                  <c:x val="2.0418580908626847E-3"/>
                  <c:y val="-5.484147386461011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8551842330762641E-2"/>
                </c:manualLayout>
              </c:layout>
              <c:showVal val="1"/>
            </c:dLbl>
            <c:dLbl>
              <c:idx val="8"/>
              <c:layout>
                <c:manualLayout>
                  <c:x val="2.0418580908626847E-3"/>
                  <c:y val="1.1721611721611723E-2"/>
                </c:manualLayout>
              </c:layout>
              <c:showVal val="1"/>
            </c:dLbl>
            <c:dLbl>
              <c:idx val="9"/>
              <c:layout>
                <c:manualLayout>
                  <c:x val="-2.0418580908626847E-3"/>
                  <c:y val="-5.484147386461011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7137960582690598E-2"/>
                </c:manualLayout>
              </c:layout>
              <c:showVal val="1"/>
            </c:dLbl>
            <c:dLbl>
              <c:idx val="11"/>
              <c:layout>
                <c:manualLayout>
                  <c:x val="3.6985668053629308E-3"/>
                  <c:y val="-5.826910097776237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Hoja1!$G$10:$U$10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Hoja1!$G$11:$U$11</c:f>
              <c:numCache>
                <c:formatCode>General</c:formatCode>
                <c:ptCount val="15"/>
                <c:pt idx="0">
                  <c:v>20</c:v>
                </c:pt>
                <c:pt idx="1">
                  <c:v>18.5</c:v>
                </c:pt>
                <c:pt idx="2">
                  <c:v>6.2</c:v>
                </c:pt>
                <c:pt idx="3">
                  <c:v>56.5</c:v>
                </c:pt>
                <c:pt idx="4">
                  <c:v>128.19999999999999</c:v>
                </c:pt>
                <c:pt idx="5">
                  <c:v>107</c:v>
                </c:pt>
                <c:pt idx="6">
                  <c:v>9.3000000000000007</c:v>
                </c:pt>
                <c:pt idx="7">
                  <c:v>29.7</c:v>
                </c:pt>
                <c:pt idx="8">
                  <c:v>71.900000000000006</c:v>
                </c:pt>
                <c:pt idx="9">
                  <c:v>10.4</c:v>
                </c:pt>
                <c:pt idx="10">
                  <c:v>19.2</c:v>
                </c:pt>
                <c:pt idx="11">
                  <c:v>12.4</c:v>
                </c:pt>
                <c:pt idx="12">
                  <c:v>30.9</c:v>
                </c:pt>
                <c:pt idx="13">
                  <c:v>21.7</c:v>
                </c:pt>
                <c:pt idx="14">
                  <c:v>65.3</c:v>
                </c:pt>
              </c:numCache>
            </c:numRef>
          </c:val>
        </c:ser>
        <c:axId val="79369728"/>
        <c:axId val="47119744"/>
      </c:barChart>
      <c:lineChart>
        <c:grouping val="standard"/>
        <c:ser>
          <c:idx val="1"/>
          <c:order val="1"/>
          <c:tx>
            <c:strRef>
              <c:f>Hoja1!$F$12</c:f>
              <c:strCache>
                <c:ptCount val="1"/>
                <c:pt idx="0">
                  <c:v>Máxima Diaria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5"/>
              <c:layout>
                <c:manualLayout>
                  <c:x val="6.1255742725880389E-3"/>
                  <c:y val="8.7912087912087912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1.020929045431342E-2"/>
                  <c:y val="-1.1721611721611723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0"/>
                  <c:y val="-1.7582417582417582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4.0837161817254474E-3"/>
                  <c:y val="-1.1721611721611723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0"/>
                  <c:y val="-1.1721611721611723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3.4711587544665648E-2"/>
                  <c:y val="-3.477303798563641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8492834026814641E-3"/>
                  <c:y val="-5.8608058608058608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Hoja1!$G$10:$U$10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Hoja1!$G$12:$U$12</c:f>
              <c:numCache>
                <c:formatCode>General</c:formatCode>
                <c:ptCount val="15"/>
                <c:pt idx="0">
                  <c:v>7.5</c:v>
                </c:pt>
                <c:pt idx="1">
                  <c:v>6.5</c:v>
                </c:pt>
                <c:pt idx="2">
                  <c:v>2</c:v>
                </c:pt>
                <c:pt idx="3">
                  <c:v>19.2</c:v>
                </c:pt>
                <c:pt idx="4">
                  <c:v>23.5</c:v>
                </c:pt>
                <c:pt idx="5">
                  <c:v>28.6</c:v>
                </c:pt>
                <c:pt idx="6">
                  <c:v>4.5999999999999996</c:v>
                </c:pt>
                <c:pt idx="7">
                  <c:v>9.2000000000000011</c:v>
                </c:pt>
                <c:pt idx="8">
                  <c:v>31.8</c:v>
                </c:pt>
                <c:pt idx="9">
                  <c:v>4.8</c:v>
                </c:pt>
                <c:pt idx="10">
                  <c:v>8.2000000000000011</c:v>
                </c:pt>
                <c:pt idx="11">
                  <c:v>3.8</c:v>
                </c:pt>
                <c:pt idx="12">
                  <c:v>12.4</c:v>
                </c:pt>
                <c:pt idx="13">
                  <c:v>7.8</c:v>
                </c:pt>
                <c:pt idx="14">
                  <c:v>34.800000000000004</c:v>
                </c:pt>
              </c:numCache>
            </c:numRef>
          </c:val>
        </c:ser>
        <c:marker val="1"/>
        <c:axId val="47116288"/>
        <c:axId val="47117824"/>
      </c:lineChart>
      <c:catAx>
        <c:axId val="47116288"/>
        <c:scaling>
          <c:orientation val="minMax"/>
        </c:scaling>
        <c:axPos val="b"/>
        <c:numFmt formatCode="General" sourceLinked="1"/>
        <c:tickLblPos val="nextTo"/>
        <c:crossAx val="47117824"/>
        <c:crosses val="autoZero"/>
        <c:auto val="1"/>
        <c:lblAlgn val="ctr"/>
        <c:lblOffset val="100"/>
      </c:catAx>
      <c:valAx>
        <c:axId val="47117824"/>
        <c:scaling>
          <c:orientation val="minMax"/>
          <c:max val="1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1090305924874146"/>
              <c:y val="0.10353639298923967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47116288"/>
        <c:crosses val="autoZero"/>
        <c:crossBetween val="between"/>
        <c:majorUnit val="20"/>
        <c:minorUnit val="4"/>
      </c:valAx>
      <c:valAx>
        <c:axId val="47119744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B0F0"/>
                    </a:solidFill>
                  </a:defRPr>
                </a:pPr>
                <a:r>
                  <a:rPr lang="es-ES" baseline="0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7575125924793384"/>
              <c:y val="0.10895878706651038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79369728"/>
        <c:crosses val="max"/>
        <c:crossBetween val="between"/>
      </c:valAx>
      <c:catAx>
        <c:axId val="79369728"/>
        <c:scaling>
          <c:orientation val="minMax"/>
        </c:scaling>
        <c:delete val="1"/>
        <c:axPos val="b"/>
        <c:numFmt formatCode="General" sourceLinked="1"/>
        <c:tickLblPos val="nextTo"/>
        <c:crossAx val="47119744"/>
        <c:crosses val="autoZero"/>
        <c:auto val="1"/>
        <c:lblAlgn val="ctr"/>
        <c:lblOffset val="100"/>
      </c:cat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2471932892002589"/>
          <c:y val="0.93016111447607563"/>
          <c:w val="0.4851946799146305"/>
          <c:h val="4.3018545758703237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b="1" i="0" baseline="0">
              <a:solidFill>
                <a:srgbClr val="C0000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2020-01-02T22:47:00Z</dcterms:created>
  <dcterms:modified xsi:type="dcterms:W3CDTF">2020-01-03T17:07:00Z</dcterms:modified>
</cp:coreProperties>
</file>